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C0F2" w14:textId="55107D4F" w:rsidR="003D5FC5" w:rsidRPr="003D5FC5" w:rsidRDefault="002B3D09" w:rsidP="00B807CA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 </w:t>
      </w:r>
      <w:r w:rsidR="00284A39">
        <w:rPr>
          <w:rFonts w:cs="Arial"/>
          <w:b/>
        </w:rPr>
        <w:t>Alternate Ship To Address Quick Reference Guide</w:t>
      </w:r>
    </w:p>
    <w:p w14:paraId="11AED045" w14:textId="26651E35" w:rsidR="003D5FC5" w:rsidRDefault="003D5FC5" w:rsidP="00B807CA">
      <w:pPr>
        <w:rPr>
          <w:rFonts w:cs="Arial"/>
        </w:rPr>
      </w:pPr>
      <w:r w:rsidRPr="003D5FC5">
        <w:rPr>
          <w:rFonts w:cs="Arial"/>
          <w:b/>
        </w:rPr>
        <w:t>Last Updated</w:t>
      </w:r>
      <w:r w:rsidR="00796079">
        <w:rPr>
          <w:rFonts w:cs="Arial"/>
        </w:rPr>
        <w:t>:</w:t>
      </w:r>
      <w:r w:rsidR="00284A39">
        <w:rPr>
          <w:rFonts w:cs="Arial"/>
        </w:rPr>
        <w:t xml:space="preserve"> </w:t>
      </w:r>
      <w:r w:rsidR="00B15105">
        <w:rPr>
          <w:rFonts w:cs="Arial"/>
        </w:rPr>
        <w:t>04/2023</w:t>
      </w:r>
    </w:p>
    <w:p w14:paraId="7A789E0F" w14:textId="096DB23E" w:rsidR="003D5FC5" w:rsidRDefault="00DF6694" w:rsidP="003D5FC5">
      <w:pPr>
        <w:rPr>
          <w:rFonts w:cs="Arial"/>
        </w:rPr>
      </w:pPr>
      <w:r>
        <w:rPr>
          <w:rFonts w:cs="Arial"/>
        </w:rPr>
        <w:t xml:space="preserve">This document provides instructions for requesters to input a temporary alternate ‘ad-hoc’ ship to address to receive packages at an off-campus location. </w:t>
      </w:r>
      <w:r w:rsidR="00A52274" w:rsidRPr="00A52274">
        <w:rPr>
          <w:rFonts w:cs="Arial"/>
        </w:rPr>
        <w:t xml:space="preserve">It is highly recommended that the requester receive departmental approval before shipping </w:t>
      </w:r>
      <w:r w:rsidR="00A52274">
        <w:rPr>
          <w:rFonts w:cs="Arial"/>
        </w:rPr>
        <w:t xml:space="preserve">to an off-campus location. </w:t>
      </w:r>
      <w:r w:rsidRPr="00A52274">
        <w:rPr>
          <w:rFonts w:cs="Arial"/>
        </w:rPr>
        <w:t>This change is allowed at the Line Item level of the requisition. Once work on campus resumes to normal, these ad-</w:t>
      </w:r>
      <w:r>
        <w:rPr>
          <w:rFonts w:cs="Arial"/>
        </w:rPr>
        <w:t>hoc addresses will be removed from Ariba.</w:t>
      </w:r>
    </w:p>
    <w:p w14:paraId="0054B218" w14:textId="71CC07C4" w:rsidR="00DF6694" w:rsidRDefault="00DF6694" w:rsidP="003D5FC5">
      <w:pPr>
        <w:rPr>
          <w:rFonts w:cs="Arial"/>
        </w:rPr>
      </w:pPr>
      <w:r w:rsidRPr="00DF6694">
        <w:rPr>
          <w:rFonts w:cs="Arial"/>
          <w:u w:val="single"/>
        </w:rPr>
        <w:t>NOTE</w:t>
      </w:r>
      <w:r>
        <w:rPr>
          <w:rFonts w:cs="Arial"/>
        </w:rPr>
        <w:t>: No changes to the ship to location in the user profile should be made.</w:t>
      </w:r>
    </w:p>
    <w:p w14:paraId="3B52CDC9" w14:textId="0F9290BE" w:rsidR="00A52274" w:rsidRDefault="00A52274" w:rsidP="003D5FC5">
      <w:pPr>
        <w:rPr>
          <w:rFonts w:cs="Arial"/>
        </w:rPr>
      </w:pPr>
      <w:r>
        <w:rPr>
          <w:rFonts w:cs="Arial"/>
        </w:rPr>
        <w:t>Shipments being delivered to campus should maintain the regular process and select building location from the list of prepopulated entries.</w:t>
      </w:r>
    </w:p>
    <w:p w14:paraId="4C40F3F2" w14:textId="08BE51B1" w:rsidR="00284A39" w:rsidRDefault="003C4845" w:rsidP="00284A39">
      <w:hyperlink r:id="rId12" w:history="1">
        <w:r w:rsidR="00284A39" w:rsidRPr="00917A6C">
          <w:rPr>
            <w:rStyle w:val="Hyperlink"/>
            <w:rFonts w:cs="Arial"/>
          </w:rPr>
          <w:t>Property Accounting policies and procedures</w:t>
        </w:r>
      </w:hyperlink>
      <w:r w:rsidR="00284A39" w:rsidRPr="00917A6C">
        <w:rPr>
          <w:rFonts w:cs="Arial"/>
        </w:rPr>
        <w:t xml:space="preserve"> must continue to be followed. Any capital equipment that will reside off-campus must follow the </w:t>
      </w:r>
      <w:bookmarkStart w:id="1" w:name="_Hlk132280665"/>
      <w:r w:rsidR="002B3D09" w:rsidRPr="00917A6C">
        <w:rPr>
          <w:rFonts w:cs="Arial"/>
        </w:rPr>
        <w:fldChar w:fldCharType="begin"/>
      </w:r>
      <w:r w:rsidR="002B3D09" w:rsidRPr="00917A6C">
        <w:rPr>
          <w:rFonts w:cs="Arial"/>
        </w:rPr>
        <w:instrText xml:space="preserve"> HYPERLINK "https://purdue0.sharepoint.com/:w:/r/sites/BPTraining/Training/_layouts/15/Doc.aspx?sourcedoc=%7BD2294E17-29D4-4312-9BA4-D49238FC5D90%7D&amp;file=Use%20Of%20Equipment%20Off-Campus.docx&amp;action=default&amp;mobileredirect=true&amp;CID=36405D20-F764-4212-B6E7-7D469785FA82&amp;wdLOR=c2FE0E144-CAD6-4541-92B7-4BD02C1C0CFA&amp;_ga=2.53650600.1669178057.1681149716-33391506.1680791548" </w:instrText>
      </w:r>
      <w:r w:rsidR="002B3D09" w:rsidRPr="00917A6C">
        <w:rPr>
          <w:rFonts w:cs="Arial"/>
        </w:rPr>
        <w:fldChar w:fldCharType="separate"/>
      </w:r>
      <w:r w:rsidR="00284A39" w:rsidRPr="00917A6C">
        <w:rPr>
          <w:rStyle w:val="Hyperlink"/>
          <w:rFonts w:cs="Arial"/>
        </w:rPr>
        <w:t>Use of University Equipment Off-Campus</w:t>
      </w:r>
      <w:bookmarkEnd w:id="1"/>
      <w:r w:rsidR="002B3D09" w:rsidRPr="00917A6C">
        <w:rPr>
          <w:rFonts w:cs="Arial"/>
        </w:rPr>
        <w:fldChar w:fldCharType="end"/>
      </w:r>
      <w:r w:rsidR="00284A39" w:rsidRPr="00917A6C">
        <w:rPr>
          <w:rFonts w:cs="Arial"/>
        </w:rPr>
        <w:t xml:space="preserve"> business process, which includes completion and submission of the requires the completion of </w:t>
      </w:r>
      <w:r w:rsidR="00284A39" w:rsidRPr="007422BF">
        <w:rPr>
          <w:rFonts w:cs="Arial"/>
        </w:rPr>
        <w:t>the</w:t>
      </w:r>
      <w:r w:rsidR="00284A39" w:rsidRPr="007422BF">
        <w:rPr>
          <w:rFonts w:ascii="acumin-pro" w:hAnsi="acumin-pro" w:cs="Arial"/>
          <w:i/>
          <w:iCs/>
          <w:color w:val="333333"/>
          <w:sz w:val="21"/>
          <w:szCs w:val="21"/>
          <w:lang w:val="en"/>
        </w:rPr>
        <w:t xml:space="preserve"> </w:t>
      </w:r>
      <w:bookmarkStart w:id="2" w:name="_Hlk132280656"/>
      <w:r w:rsidR="007422BF">
        <w:rPr>
          <w:rFonts w:cs="Arial"/>
          <w:iCs/>
          <w:szCs w:val="21"/>
          <w:lang w:val="en"/>
        </w:rPr>
        <w:fldChar w:fldCharType="begin"/>
      </w:r>
      <w:r w:rsidR="007422BF">
        <w:rPr>
          <w:rFonts w:cs="Arial"/>
          <w:iCs/>
          <w:szCs w:val="21"/>
          <w:lang w:val="en"/>
        </w:rPr>
        <w:instrText xml:space="preserve"> HYPERLINK "https://www.purdue.edu/business/mas/property/propacct/forms.php" </w:instrText>
      </w:r>
      <w:r w:rsidR="007422BF">
        <w:rPr>
          <w:rFonts w:cs="Arial"/>
          <w:iCs/>
          <w:szCs w:val="21"/>
          <w:lang w:val="en"/>
        </w:rPr>
        <w:fldChar w:fldCharType="separate"/>
      </w:r>
      <w:r w:rsidR="00284A39" w:rsidRPr="007422BF">
        <w:rPr>
          <w:rStyle w:val="Hyperlink"/>
          <w:rFonts w:cs="Arial"/>
          <w:iCs/>
          <w:szCs w:val="21"/>
          <w:lang w:val="en"/>
        </w:rPr>
        <w:t>Form POC – Property Off Campus</w:t>
      </w:r>
      <w:bookmarkEnd w:id="2"/>
      <w:r w:rsidR="007422BF">
        <w:rPr>
          <w:rFonts w:cs="Arial"/>
          <w:iCs/>
          <w:szCs w:val="21"/>
          <w:lang w:val="en"/>
        </w:rPr>
        <w:fldChar w:fldCharType="end"/>
      </w:r>
      <w:r w:rsidR="00284A39" w:rsidRPr="007422BF">
        <w:rPr>
          <w:rFonts w:cs="Arial"/>
        </w:rPr>
        <w:t xml:space="preserve">. </w:t>
      </w:r>
      <w:r w:rsidR="00284A39" w:rsidRPr="007422BF">
        <w:t xml:space="preserve">Questions related to Capital Equipment need to be directed to Lisa Geisler at </w:t>
      </w:r>
      <w:hyperlink r:id="rId13" w:history="1">
        <w:r w:rsidR="00284A39" w:rsidRPr="007422BF">
          <w:rPr>
            <w:rStyle w:val="Hyperlink"/>
          </w:rPr>
          <w:t>lgeisler@purdue.edu</w:t>
        </w:r>
      </w:hyperlink>
    </w:p>
    <w:p w14:paraId="72DB71B7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76359BBC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67A669CC" w14:textId="77777777" w:rsidR="002A52E6" w:rsidRPr="007D30FB" w:rsidRDefault="00DF6694" w:rsidP="0027010B">
            <w:pPr>
              <w:pStyle w:val="Heading2"/>
              <w:rPr>
                <w:noProof/>
              </w:rPr>
            </w:pPr>
            <w:bookmarkStart w:id="3" w:name="_Access_Ariba"/>
            <w:bookmarkEnd w:id="3"/>
            <w:r>
              <w:rPr>
                <w:noProof/>
              </w:rPr>
              <w:t>Edit Line Item</w:t>
            </w:r>
          </w:p>
        </w:tc>
      </w:tr>
      <w:tr w:rsidR="00A36FEB" w:rsidRPr="00D80104" w14:paraId="1D671917" w14:textId="77777777" w:rsidTr="007D30FB">
        <w:tc>
          <w:tcPr>
            <w:tcW w:w="3174" w:type="dxa"/>
            <w:shd w:val="clear" w:color="auto" w:fill="auto"/>
            <w:vAlign w:val="center"/>
          </w:tcPr>
          <w:p w14:paraId="01A47955" w14:textId="77777777" w:rsidR="00A36FEB" w:rsidRDefault="004A75A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requisition, select </w:t>
            </w:r>
            <w:r w:rsidRPr="004A75A9">
              <w:rPr>
                <w:rFonts w:cs="Arial"/>
                <w:b/>
                <w:bCs/>
              </w:rPr>
              <w:t>Line Items</w:t>
            </w:r>
            <w:r>
              <w:rPr>
                <w:rFonts w:cs="Arial"/>
                <w:bCs/>
              </w:rPr>
              <w:t xml:space="preserve"> and click </w:t>
            </w:r>
            <w:r w:rsidRPr="004A75A9">
              <w:rPr>
                <w:rFonts w:cs="Arial"/>
                <w:b/>
                <w:bCs/>
              </w:rPr>
              <w:t>Actions</w:t>
            </w:r>
            <w:r>
              <w:rPr>
                <w:rFonts w:cs="Arial"/>
                <w:bCs/>
              </w:rPr>
              <w:t>.</w:t>
            </w:r>
          </w:p>
          <w:p w14:paraId="1DCF5313" w14:textId="77777777" w:rsidR="004A75A9" w:rsidRDefault="004A75A9" w:rsidP="00F347CD">
            <w:pPr>
              <w:spacing w:before="60" w:after="60"/>
              <w:rPr>
                <w:rFonts w:cs="Arial"/>
                <w:bCs/>
              </w:rPr>
            </w:pPr>
          </w:p>
          <w:p w14:paraId="35B2C54A" w14:textId="77777777" w:rsidR="004A75A9" w:rsidRPr="00D80104" w:rsidRDefault="004A75A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drop-down, select </w:t>
            </w:r>
            <w:r w:rsidRPr="004A75A9">
              <w:rPr>
                <w:rFonts w:cs="Arial"/>
                <w:b/>
                <w:bCs/>
              </w:rPr>
              <w:t>Edit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6476E81" w14:textId="7DB036F3" w:rsidR="007F2CAC" w:rsidRPr="00D80104" w:rsidRDefault="004A75A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29B9A4A" wp14:editId="5A18B033">
                  <wp:extent cx="3259037" cy="37147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889" cy="371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253A9D26" w14:textId="77777777" w:rsidTr="007D30FB">
        <w:tc>
          <w:tcPr>
            <w:tcW w:w="3174" w:type="dxa"/>
            <w:shd w:val="clear" w:color="auto" w:fill="auto"/>
            <w:vAlign w:val="center"/>
          </w:tcPr>
          <w:p w14:paraId="173A531C" w14:textId="77777777" w:rsidR="00796079" w:rsidRDefault="004A75A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Under </w:t>
            </w:r>
            <w:r w:rsidRPr="004A75A9">
              <w:rPr>
                <w:rFonts w:cs="Arial"/>
                <w:b/>
                <w:bCs/>
              </w:rPr>
              <w:t>Shipping – by Line Item</w:t>
            </w:r>
            <w:r>
              <w:rPr>
                <w:rFonts w:cs="Arial"/>
                <w:bCs/>
              </w:rPr>
              <w:t xml:space="preserve">, click the </w:t>
            </w:r>
            <w:r w:rsidRPr="004A75A9">
              <w:rPr>
                <w:rFonts w:cs="Arial"/>
                <w:b/>
                <w:bCs/>
              </w:rPr>
              <w:t>Ship To/Plant</w:t>
            </w:r>
            <w:r>
              <w:rPr>
                <w:rFonts w:cs="Arial"/>
                <w:bCs/>
              </w:rPr>
              <w:t xml:space="preserve"> drop-down.</w:t>
            </w:r>
          </w:p>
          <w:p w14:paraId="33932526" w14:textId="77777777" w:rsidR="004A75A9" w:rsidRDefault="004A75A9" w:rsidP="00F347CD">
            <w:pPr>
              <w:spacing w:before="60" w:after="60"/>
              <w:rPr>
                <w:rFonts w:cs="Arial"/>
                <w:bCs/>
              </w:rPr>
            </w:pPr>
          </w:p>
          <w:p w14:paraId="2F0503B0" w14:textId="77777777" w:rsidR="004A75A9" w:rsidRPr="00D80104" w:rsidRDefault="004A75A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A75A9">
              <w:rPr>
                <w:rFonts w:cs="Arial"/>
                <w:b/>
                <w:bCs/>
              </w:rPr>
              <w:t>Search More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E6B4B74" w14:textId="77777777" w:rsidR="00796079" w:rsidRPr="00D80104" w:rsidRDefault="00DF669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B4DA2D1" wp14:editId="622631E2">
                  <wp:extent cx="4173280" cy="1962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031" cy="196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08E" w:rsidRPr="00D80104" w14:paraId="2F7C00DB" w14:textId="77777777" w:rsidTr="007D30FB">
        <w:tc>
          <w:tcPr>
            <w:tcW w:w="3174" w:type="dxa"/>
            <w:shd w:val="clear" w:color="auto" w:fill="auto"/>
            <w:vAlign w:val="center"/>
          </w:tcPr>
          <w:p w14:paraId="54AB85F5" w14:textId="77777777" w:rsidR="004B408E" w:rsidRPr="00D80104" w:rsidRDefault="004A75A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Click </w:t>
            </w:r>
            <w:r w:rsidRPr="004A75A9">
              <w:rPr>
                <w:rFonts w:cs="Arial"/>
                <w:b/>
                <w:bCs/>
              </w:rPr>
              <w:t>New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33EE8F6" w14:textId="77777777" w:rsidR="004B408E" w:rsidRPr="00D80104" w:rsidRDefault="00DF669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B1E4E0B" wp14:editId="4D05853D">
                  <wp:extent cx="3248025" cy="663561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560" cy="66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26C3BC76" w14:textId="77777777" w:rsidTr="007D30FB">
        <w:tc>
          <w:tcPr>
            <w:tcW w:w="3174" w:type="dxa"/>
            <w:shd w:val="clear" w:color="auto" w:fill="auto"/>
            <w:vAlign w:val="center"/>
          </w:tcPr>
          <w:p w14:paraId="4339A315" w14:textId="549E66CE" w:rsidR="004A75A9" w:rsidRDefault="004A75A9" w:rsidP="00DF6694">
            <w:bookmarkStart w:id="4" w:name="_Heading_2"/>
            <w:bookmarkStart w:id="5" w:name="_Adding_Items_to"/>
            <w:bookmarkEnd w:id="4"/>
            <w:bookmarkEnd w:id="5"/>
            <w:r w:rsidRPr="004A75A9">
              <w:t xml:space="preserve">Create the </w:t>
            </w:r>
            <w:r w:rsidRPr="004A75A9">
              <w:rPr>
                <w:b/>
              </w:rPr>
              <w:t xml:space="preserve">Nonstandard Ship To/Plant </w:t>
            </w:r>
            <w:r w:rsidRPr="004A75A9">
              <w:t>entry.</w:t>
            </w:r>
          </w:p>
          <w:p w14:paraId="71920E70" w14:textId="77777777" w:rsidR="007751FA" w:rsidRDefault="007751FA" w:rsidP="00DF6694"/>
          <w:p w14:paraId="15322816" w14:textId="4E155938" w:rsidR="001D4897" w:rsidRDefault="007751FA" w:rsidP="007751FA">
            <w:pPr>
              <w:pStyle w:val="ListParagraph"/>
              <w:numPr>
                <w:ilvl w:val="0"/>
                <w:numId w:val="19"/>
              </w:numPr>
            </w:pPr>
            <w:r w:rsidRPr="007751FA">
              <w:rPr>
                <w:u w:val="single"/>
              </w:rPr>
              <w:t>Do not</w:t>
            </w:r>
            <w:r>
              <w:t xml:space="preserve"> create an address using ALL CAPS, this will cause errors.</w:t>
            </w:r>
          </w:p>
          <w:p w14:paraId="45B0B476" w14:textId="0D16C84C" w:rsidR="007751FA" w:rsidRDefault="007751FA" w:rsidP="007751FA">
            <w:pPr>
              <w:pStyle w:val="ListParagraph"/>
              <w:numPr>
                <w:ilvl w:val="0"/>
                <w:numId w:val="19"/>
              </w:numPr>
            </w:pPr>
            <w:r>
              <w:t xml:space="preserve">Use the two-character state code, </w:t>
            </w:r>
            <w:r w:rsidRPr="007751FA">
              <w:rPr>
                <w:b/>
              </w:rPr>
              <w:t>IN</w:t>
            </w:r>
            <w:r>
              <w:t>.</w:t>
            </w:r>
          </w:p>
          <w:p w14:paraId="3E0EC36E" w14:textId="7D8E3CE9" w:rsidR="007751FA" w:rsidRDefault="007751FA" w:rsidP="007751FA">
            <w:pPr>
              <w:pStyle w:val="ListParagraph"/>
              <w:numPr>
                <w:ilvl w:val="0"/>
                <w:numId w:val="19"/>
              </w:numPr>
            </w:pPr>
            <w:r>
              <w:t xml:space="preserve">Although not marked, </w:t>
            </w:r>
            <w:r w:rsidRPr="007751FA">
              <w:rPr>
                <w:b/>
              </w:rPr>
              <w:t>Postal (Zip) Code</w:t>
            </w:r>
            <w:r>
              <w:t xml:space="preserve"> is required.</w:t>
            </w:r>
          </w:p>
          <w:p w14:paraId="54C3A0D1" w14:textId="77777777" w:rsidR="007751FA" w:rsidRDefault="007751FA" w:rsidP="00DF6694"/>
          <w:p w14:paraId="40388419" w14:textId="25ED1058" w:rsidR="001D4897" w:rsidRDefault="00DF6694" w:rsidP="00DF6694">
            <w:r w:rsidRPr="004A75A9">
              <w:t xml:space="preserve">Complete the required </w:t>
            </w:r>
            <w:r w:rsidR="00945DCE" w:rsidRPr="004A75A9">
              <w:t>fields,</w:t>
            </w:r>
            <w:r w:rsidR="001D4897">
              <w:t xml:space="preserve"> marked with a red asterisk (</w:t>
            </w:r>
            <w:r w:rsidR="001D4897" w:rsidRPr="001D4897">
              <w:rPr>
                <w:color w:val="FF0000"/>
              </w:rPr>
              <w:t>*</w:t>
            </w:r>
            <w:r w:rsidR="001D4897">
              <w:t xml:space="preserve">), </w:t>
            </w:r>
            <w:r w:rsidRPr="004A75A9">
              <w:t xml:space="preserve">to create the new </w:t>
            </w:r>
            <w:r w:rsidR="001D4897">
              <w:t>location</w:t>
            </w:r>
            <w:r w:rsidRPr="004A75A9">
              <w:t xml:space="preserve">. </w:t>
            </w:r>
          </w:p>
          <w:p w14:paraId="53307E16" w14:textId="77777777" w:rsidR="001D4897" w:rsidRDefault="001D4897" w:rsidP="00DF6694"/>
          <w:p w14:paraId="0661E504" w14:textId="77777777" w:rsidR="00DF6694" w:rsidRPr="004A75A9" w:rsidRDefault="00DF6694" w:rsidP="00DF6694">
            <w:r w:rsidRPr="004A75A9">
              <w:t xml:space="preserve">Provide contact information such as phone </w:t>
            </w:r>
            <w:r w:rsidR="005C726C">
              <w:t>number</w:t>
            </w:r>
            <w:r w:rsidR="001D4897">
              <w:t xml:space="preserve"> </w:t>
            </w:r>
            <w:r w:rsidRPr="004A75A9">
              <w:t xml:space="preserve">so the supplier or shipper </w:t>
            </w:r>
            <w:r w:rsidR="004A75A9">
              <w:t>can contact you with questions.</w:t>
            </w:r>
          </w:p>
          <w:p w14:paraId="749B87D1" w14:textId="77777777" w:rsidR="00FB67D3" w:rsidRPr="00673625" w:rsidRDefault="00FB67D3" w:rsidP="00673625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0DB65411" w14:textId="77777777" w:rsidR="00FB67D3" w:rsidRPr="00D80104" w:rsidRDefault="005C726C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066C1AD" wp14:editId="69233F21">
                  <wp:extent cx="4314825" cy="3539007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020" cy="355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62E17265" w14:textId="77777777" w:rsidTr="007D30FB">
        <w:tc>
          <w:tcPr>
            <w:tcW w:w="3174" w:type="dxa"/>
            <w:shd w:val="clear" w:color="auto" w:fill="auto"/>
            <w:vAlign w:val="center"/>
          </w:tcPr>
          <w:p w14:paraId="3E21BBC1" w14:textId="77777777" w:rsidR="00FB67D3" w:rsidRPr="00796079" w:rsidRDefault="001D4897" w:rsidP="00796079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r w:rsidRPr="001D4897">
              <w:rPr>
                <w:rFonts w:cs="Arial"/>
                <w:b/>
              </w:rPr>
              <w:t>Save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F2CC07E" w14:textId="77777777" w:rsidR="00FB67D3" w:rsidRPr="00D80104" w:rsidRDefault="00DF6694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7692F6C" wp14:editId="6A470418">
                  <wp:extent cx="1838325" cy="437697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79" cy="440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310" w:rsidRPr="00D80104" w14:paraId="5E04AA3A" w14:textId="77777777" w:rsidTr="000F3084">
        <w:tc>
          <w:tcPr>
            <w:tcW w:w="3174" w:type="dxa"/>
            <w:shd w:val="clear" w:color="auto" w:fill="auto"/>
            <w:vAlign w:val="center"/>
          </w:tcPr>
          <w:p w14:paraId="7DEE779C" w14:textId="77777777" w:rsidR="001D4897" w:rsidRPr="001D4897" w:rsidRDefault="001D4897" w:rsidP="001D4897">
            <w:r w:rsidRPr="001D4897">
              <w:t xml:space="preserve">The created address is now available, click </w:t>
            </w:r>
            <w:r w:rsidRPr="001D4897">
              <w:rPr>
                <w:b/>
              </w:rPr>
              <w:t>Select</w:t>
            </w:r>
            <w:r w:rsidRPr="001D4897">
              <w:t xml:space="preserve"> to add to requisition.</w:t>
            </w:r>
          </w:p>
          <w:p w14:paraId="406FA398" w14:textId="77777777" w:rsidR="000B1310" w:rsidRPr="00D80104" w:rsidRDefault="000B1310" w:rsidP="000F3084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15E3C4E1" w14:textId="77777777" w:rsidR="000B1310" w:rsidRPr="00D80104" w:rsidRDefault="004A75A9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62734E8" wp14:editId="6990A919">
                  <wp:extent cx="3823831" cy="3409950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413" cy="341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E28" w:rsidRPr="00D80104" w14:paraId="54265B10" w14:textId="77777777" w:rsidTr="000F3084">
        <w:tc>
          <w:tcPr>
            <w:tcW w:w="3174" w:type="dxa"/>
            <w:shd w:val="clear" w:color="auto" w:fill="auto"/>
            <w:vAlign w:val="center"/>
          </w:tcPr>
          <w:p w14:paraId="74035FA3" w14:textId="77777777" w:rsidR="004A75A9" w:rsidRPr="001D4897" w:rsidRDefault="001D4897" w:rsidP="004A75A9">
            <w:r w:rsidRPr="001D4897">
              <w:lastRenderedPageBreak/>
              <w:t xml:space="preserve">Once selected, the </w:t>
            </w:r>
            <w:r w:rsidRPr="001D4897">
              <w:rPr>
                <w:b/>
              </w:rPr>
              <w:t>Ship To/Plant</w:t>
            </w:r>
            <w:r w:rsidRPr="001D4897">
              <w:t xml:space="preserve"> field will auto-populate </w:t>
            </w:r>
            <w:r w:rsidR="004A75A9" w:rsidRPr="001D4897">
              <w:t xml:space="preserve">with the Plant ID# created for the </w:t>
            </w:r>
            <w:r w:rsidRPr="001D4897">
              <w:t xml:space="preserve">alternate </w:t>
            </w:r>
            <w:r w:rsidR="004A75A9" w:rsidRPr="001D4897">
              <w:t xml:space="preserve">address. </w:t>
            </w:r>
          </w:p>
          <w:p w14:paraId="4078F7FC" w14:textId="77777777" w:rsidR="001D4897" w:rsidRPr="001D4897" w:rsidRDefault="001D4897" w:rsidP="004A75A9"/>
          <w:p w14:paraId="7BCE5D7A" w14:textId="77777777" w:rsidR="004A75A9" w:rsidRPr="001D4897" w:rsidRDefault="004A75A9" w:rsidP="004A75A9">
            <w:r w:rsidRPr="001D4897">
              <w:t>The system will auto-</w:t>
            </w:r>
            <w:r w:rsidR="001D4897" w:rsidRPr="001D4897">
              <w:t xml:space="preserve">populate the name of the Requester in the </w:t>
            </w:r>
            <w:r w:rsidRPr="001D4897">
              <w:rPr>
                <w:b/>
              </w:rPr>
              <w:t>Deliver To</w:t>
            </w:r>
            <w:r w:rsidRPr="001D4897">
              <w:t xml:space="preserve"> </w:t>
            </w:r>
            <w:r w:rsidR="001D4897" w:rsidRPr="001D4897">
              <w:t xml:space="preserve">field; update </w:t>
            </w:r>
            <w:r w:rsidRPr="001D4897">
              <w:t>to the appropriate name.</w:t>
            </w:r>
          </w:p>
          <w:p w14:paraId="36E516D8" w14:textId="77777777" w:rsidR="005C3E28" w:rsidRDefault="005C3E28" w:rsidP="000F308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0DAA2A53" w14:textId="77777777" w:rsidR="005C3E28" w:rsidRPr="004A75A9" w:rsidRDefault="004A75A9" w:rsidP="000F3084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 wp14:anchorId="4B79ADE4" wp14:editId="3BFE60AE">
                  <wp:extent cx="3905250" cy="1693451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890" cy="169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1B0" w:rsidRPr="00D80104" w14:paraId="02004C1E" w14:textId="77777777" w:rsidTr="005119B2">
        <w:tc>
          <w:tcPr>
            <w:tcW w:w="10770" w:type="dxa"/>
            <w:gridSpan w:val="2"/>
            <w:shd w:val="clear" w:color="auto" w:fill="auto"/>
            <w:vAlign w:val="center"/>
          </w:tcPr>
          <w:p w14:paraId="08F033CF" w14:textId="77777777" w:rsidR="00FF71B0" w:rsidRDefault="00FF71B0" w:rsidP="005119B2">
            <w:r>
              <w:t xml:space="preserve">Once the alternate address has been created, it should be selected from the drop-down or located using the Search function. </w:t>
            </w:r>
            <w:r w:rsidRPr="007751FA">
              <w:rPr>
                <w:u w:val="single"/>
              </w:rPr>
              <w:t>Do not</w:t>
            </w:r>
            <w:r>
              <w:t xml:space="preserve"> create the alternate ship-to address each time it is to be used.</w:t>
            </w:r>
          </w:p>
        </w:tc>
      </w:tr>
      <w:tr w:rsidR="00FF71B0" w:rsidRPr="00D80104" w14:paraId="4A965AAB" w14:textId="77777777" w:rsidTr="005119B2">
        <w:tc>
          <w:tcPr>
            <w:tcW w:w="10770" w:type="dxa"/>
            <w:gridSpan w:val="2"/>
            <w:shd w:val="clear" w:color="auto" w:fill="BAA892"/>
            <w:vAlign w:val="center"/>
          </w:tcPr>
          <w:p w14:paraId="0725A778" w14:textId="5C519D58" w:rsidR="00FF71B0" w:rsidRPr="007D30FB" w:rsidRDefault="00FF71B0" w:rsidP="00FF71B0">
            <w:pPr>
              <w:pStyle w:val="Heading2"/>
              <w:rPr>
                <w:noProof/>
              </w:rPr>
            </w:pPr>
            <w:r>
              <w:rPr>
                <w:noProof/>
              </w:rPr>
              <w:t>Purchase Order</w:t>
            </w:r>
          </w:p>
        </w:tc>
      </w:tr>
      <w:tr w:rsidR="00796079" w:rsidRPr="00D80104" w14:paraId="3C9A6F30" w14:textId="77777777" w:rsidTr="000F3084">
        <w:tc>
          <w:tcPr>
            <w:tcW w:w="3174" w:type="dxa"/>
            <w:shd w:val="clear" w:color="auto" w:fill="auto"/>
            <w:vAlign w:val="center"/>
          </w:tcPr>
          <w:p w14:paraId="5E805565" w14:textId="77777777" w:rsidR="004A75A9" w:rsidRPr="001D4897" w:rsidRDefault="004A75A9" w:rsidP="004A75A9">
            <w:r w:rsidRPr="001D4897">
              <w:t>The print view of the P</w:t>
            </w:r>
            <w:r w:rsidR="001D4897">
              <w:t xml:space="preserve">urchase </w:t>
            </w:r>
            <w:r w:rsidRPr="001D4897">
              <w:t>O</w:t>
            </w:r>
            <w:r w:rsidR="001D4897">
              <w:t>rder (PO)</w:t>
            </w:r>
            <w:r w:rsidRPr="001D4897">
              <w:t xml:space="preserve"> will contain the new address created</w:t>
            </w:r>
            <w:r w:rsidR="001D4897">
              <w:t xml:space="preserve"> in the </w:t>
            </w:r>
            <w:r w:rsidR="001D4897" w:rsidRPr="001D4897">
              <w:rPr>
                <w:b/>
              </w:rPr>
              <w:t>Ship To/Plant</w:t>
            </w:r>
            <w:r w:rsidR="001D4897">
              <w:t xml:space="preserve"> section</w:t>
            </w:r>
            <w:r w:rsidRPr="001D4897">
              <w:t xml:space="preserve">. </w:t>
            </w:r>
          </w:p>
          <w:p w14:paraId="7C58E2B2" w14:textId="77777777" w:rsidR="00796079" w:rsidRDefault="00796079" w:rsidP="005C3E28">
            <w:pPr>
              <w:rPr>
                <w:rFonts w:cs="Arial"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78FDD327" w14:textId="77777777" w:rsidR="00796079" w:rsidRDefault="004A75A9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0CA4B5" wp14:editId="6917BBCB">
                  <wp:extent cx="3742857" cy="4628571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857" cy="46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1B0" w:rsidRPr="00D80104" w14:paraId="065B41C7" w14:textId="77777777" w:rsidTr="005119B2">
        <w:tc>
          <w:tcPr>
            <w:tcW w:w="10770" w:type="dxa"/>
            <w:gridSpan w:val="2"/>
            <w:shd w:val="clear" w:color="auto" w:fill="BAA892"/>
            <w:vAlign w:val="center"/>
          </w:tcPr>
          <w:p w14:paraId="60ADCB40" w14:textId="77777777" w:rsidR="00FF71B0" w:rsidRPr="007D30FB" w:rsidRDefault="00FF71B0" w:rsidP="005119B2">
            <w:pPr>
              <w:pStyle w:val="Heading2"/>
              <w:rPr>
                <w:noProof/>
              </w:rPr>
            </w:pPr>
            <w:r>
              <w:rPr>
                <w:noProof/>
              </w:rPr>
              <w:t>Approval</w:t>
            </w:r>
          </w:p>
        </w:tc>
      </w:tr>
      <w:tr w:rsidR="00FF71B0" w:rsidRPr="00D80104" w14:paraId="2300E822" w14:textId="77777777" w:rsidTr="005119B2">
        <w:tc>
          <w:tcPr>
            <w:tcW w:w="10770" w:type="dxa"/>
            <w:gridSpan w:val="2"/>
            <w:shd w:val="clear" w:color="auto" w:fill="auto"/>
            <w:vAlign w:val="center"/>
          </w:tcPr>
          <w:p w14:paraId="75F71581" w14:textId="6B3FF08F" w:rsidR="00FF71B0" w:rsidRPr="00FF71B0" w:rsidRDefault="00FF71B0" w:rsidP="005119B2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  <w:r w:rsidRPr="007A3BBD">
              <w:rPr>
                <w:color w:val="000000" w:themeColor="text1"/>
                <w:szCs w:val="24"/>
              </w:rPr>
              <w:t xml:space="preserve">Requisitions with an </w:t>
            </w:r>
            <w:r w:rsidR="003E33B2" w:rsidRPr="007A3BBD">
              <w:rPr>
                <w:color w:val="000000" w:themeColor="text1"/>
                <w:szCs w:val="24"/>
              </w:rPr>
              <w:t>off-campus</w:t>
            </w:r>
            <w:r w:rsidRPr="007A3BBD">
              <w:rPr>
                <w:color w:val="000000" w:themeColor="text1"/>
                <w:szCs w:val="24"/>
              </w:rPr>
              <w:t xml:space="preserve"> address will be sent to </w:t>
            </w:r>
            <w:r>
              <w:rPr>
                <w:color w:val="000000" w:themeColor="text1"/>
                <w:szCs w:val="24"/>
              </w:rPr>
              <w:t>P</w:t>
            </w:r>
            <w:r w:rsidRPr="007A3BBD">
              <w:rPr>
                <w:color w:val="000000" w:themeColor="text1"/>
                <w:szCs w:val="24"/>
              </w:rPr>
              <w:t xml:space="preserve">rocurement </w:t>
            </w:r>
            <w:r>
              <w:rPr>
                <w:color w:val="000000" w:themeColor="text1"/>
                <w:szCs w:val="24"/>
              </w:rPr>
              <w:t>S</w:t>
            </w:r>
            <w:r w:rsidRPr="007A3BBD">
              <w:rPr>
                <w:color w:val="000000" w:themeColor="text1"/>
                <w:szCs w:val="24"/>
              </w:rPr>
              <w:t>ervices to perform an appropriateness review. Procurement will contact the request</w:t>
            </w:r>
            <w:r>
              <w:rPr>
                <w:color w:val="000000" w:themeColor="text1"/>
                <w:szCs w:val="24"/>
              </w:rPr>
              <w:t>e</w:t>
            </w:r>
            <w:r w:rsidRPr="007A3BBD">
              <w:rPr>
                <w:color w:val="000000" w:themeColor="text1"/>
                <w:szCs w:val="24"/>
              </w:rPr>
              <w:t xml:space="preserve">r if they require additional information before releasing it for fiscal approval and payment.  </w:t>
            </w:r>
          </w:p>
        </w:tc>
      </w:tr>
    </w:tbl>
    <w:p w14:paraId="0BA84D32" w14:textId="77777777" w:rsidR="00796079" w:rsidRPr="00796079" w:rsidRDefault="00796079" w:rsidP="00796079">
      <w:pPr>
        <w:rPr>
          <w:rFonts w:ascii="Verdana" w:hAnsi="Verdana" w:cs="Arial"/>
        </w:rPr>
      </w:pPr>
    </w:p>
    <w:p w14:paraId="52A638F3" w14:textId="77777777" w:rsidR="00233BF8" w:rsidRPr="00796079" w:rsidRDefault="00233BF8" w:rsidP="00796079">
      <w:pPr>
        <w:jc w:val="center"/>
        <w:rPr>
          <w:rFonts w:ascii="Verdana" w:hAnsi="Verdana" w:cs="Arial"/>
        </w:rPr>
      </w:pPr>
    </w:p>
    <w:sectPr w:rsidR="00233BF8" w:rsidRPr="00796079" w:rsidSect="0050766D">
      <w:headerReference w:type="default" r:id="rId22"/>
      <w:footerReference w:type="default" r:id="rId2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A3E3" w14:textId="77777777" w:rsidR="00D31BBC" w:rsidRDefault="00D31BBC" w:rsidP="00654D65">
      <w:pPr>
        <w:spacing w:after="0"/>
      </w:pPr>
      <w:r>
        <w:separator/>
      </w:r>
    </w:p>
  </w:endnote>
  <w:endnote w:type="continuationSeparator" w:id="0">
    <w:p w14:paraId="3B5FDB73" w14:textId="77777777" w:rsidR="00D31BBC" w:rsidRDefault="00D31BBC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-pr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24E4" w14:textId="77777777" w:rsidR="002F7108" w:rsidRPr="004B1DDE" w:rsidRDefault="002F7108" w:rsidP="002F7108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>© 20</w:t>
    </w:r>
    <w:r>
      <w:rPr>
        <w:rFonts w:cs="Arial"/>
        <w:sz w:val="16"/>
        <w:szCs w:val="16"/>
      </w:rPr>
      <w:t>23</w:t>
    </w:r>
    <w:r w:rsidRPr="004B1DDE">
      <w:rPr>
        <w:rFonts w:cs="Arial"/>
        <w:sz w:val="16"/>
        <w:szCs w:val="16"/>
      </w:rPr>
      <w:t xml:space="preserve"> Purdue University</w:t>
    </w:r>
  </w:p>
  <w:p w14:paraId="663CE989" w14:textId="77777777" w:rsidR="002F7108" w:rsidRPr="004B1DDE" w:rsidRDefault="002F7108" w:rsidP="002F7108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04/2023</w:t>
    </w:r>
    <w:r w:rsidRPr="004B1DDE">
      <w:rPr>
        <w:rFonts w:cs="Arial"/>
        <w:sz w:val="16"/>
        <w:szCs w:val="16"/>
      </w:rPr>
      <w:t xml:space="preserve"> AB</w:t>
    </w:r>
  </w:p>
  <w:p w14:paraId="50979384" w14:textId="4E1B3618" w:rsidR="000F3084" w:rsidRPr="005F418F" w:rsidRDefault="000F3084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FF71B0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FF71B0">
      <w:rPr>
        <w:rFonts w:cs="Arial"/>
        <w:b/>
        <w:noProof/>
        <w:sz w:val="16"/>
        <w:szCs w:val="16"/>
      </w:rPr>
      <w:t>3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CDC1" w14:textId="77777777" w:rsidR="00D31BBC" w:rsidRDefault="00D31BBC" w:rsidP="00654D65">
      <w:pPr>
        <w:spacing w:after="0"/>
      </w:pPr>
      <w:r>
        <w:separator/>
      </w:r>
    </w:p>
  </w:footnote>
  <w:footnote w:type="continuationSeparator" w:id="0">
    <w:p w14:paraId="6B33277A" w14:textId="77777777" w:rsidR="00D31BBC" w:rsidRDefault="00D31BBC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958"/>
      <w:gridCol w:w="3842"/>
    </w:tblGrid>
    <w:tr w:rsidR="000F3084" w:rsidRPr="00D80104" w14:paraId="0C45C9F7" w14:textId="77777777" w:rsidTr="35B8F288">
      <w:trPr>
        <w:trHeight w:val="659"/>
      </w:trPr>
      <w:tc>
        <w:tcPr>
          <w:tcW w:w="3510" w:type="dxa"/>
          <w:shd w:val="clear" w:color="auto" w:fill="auto"/>
        </w:tcPr>
        <w:p w14:paraId="32AC1CC2" w14:textId="7FA690DD" w:rsidR="000F3084" w:rsidRPr="00D80104" w:rsidRDefault="004E00F7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341071C9" wp14:editId="75E9FD77">
                <wp:extent cx="4281382" cy="457199"/>
                <wp:effectExtent l="0" t="0" r="0" b="635"/>
                <wp:docPr id="1363950450" name="Picture 13639504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urdue-Co-brand-Your-Un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1382" cy="45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FD80789" w14:textId="77777777" w:rsidR="000F3084" w:rsidRPr="00D80104" w:rsidRDefault="000F3084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6DA5CA10" w14:textId="77777777" w:rsidR="000F3084" w:rsidRPr="00D80104" w:rsidRDefault="00284A39" w:rsidP="003D5FC5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Alternate Ship To Address</w:t>
          </w:r>
          <w:r w:rsidR="000F3084">
            <w:t xml:space="preserve"> </w:t>
          </w:r>
        </w:p>
      </w:tc>
    </w:tr>
  </w:tbl>
  <w:p w14:paraId="6C61CFD6" w14:textId="77777777" w:rsidR="000F3084" w:rsidRPr="002A398A" w:rsidRDefault="000F3084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0777777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01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4751A"/>
    <w:multiLevelType w:val="hybridMultilevel"/>
    <w:tmpl w:val="76F06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7"/>
  </w:num>
  <w:num w:numId="7">
    <w:abstractNumId w:val="9"/>
  </w:num>
  <w:num w:numId="8">
    <w:abstractNumId w:val="13"/>
  </w:num>
  <w:num w:numId="9">
    <w:abstractNumId w:val="14"/>
  </w:num>
  <w:num w:numId="10">
    <w:abstractNumId w:val="12"/>
  </w:num>
  <w:num w:numId="11">
    <w:abstractNumId w:val="15"/>
  </w:num>
  <w:num w:numId="12">
    <w:abstractNumId w:val="11"/>
  </w:num>
  <w:num w:numId="13">
    <w:abstractNumId w:val="17"/>
  </w:num>
  <w:num w:numId="14">
    <w:abstractNumId w:val="10"/>
  </w:num>
  <w:num w:numId="15">
    <w:abstractNumId w:val="18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5876"/>
    <w:rsid w:val="00044910"/>
    <w:rsid w:val="0007250E"/>
    <w:rsid w:val="00090075"/>
    <w:rsid w:val="000A3F3B"/>
    <w:rsid w:val="000B1310"/>
    <w:rsid w:val="000C7041"/>
    <w:rsid w:val="000D1E7F"/>
    <w:rsid w:val="000E7EBD"/>
    <w:rsid w:val="000F3084"/>
    <w:rsid w:val="00124121"/>
    <w:rsid w:val="00126965"/>
    <w:rsid w:val="001432D0"/>
    <w:rsid w:val="00143306"/>
    <w:rsid w:val="00147F5F"/>
    <w:rsid w:val="00153E2A"/>
    <w:rsid w:val="00157872"/>
    <w:rsid w:val="00162373"/>
    <w:rsid w:val="00180197"/>
    <w:rsid w:val="00194CF7"/>
    <w:rsid w:val="001B04D0"/>
    <w:rsid w:val="001D4897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41225"/>
    <w:rsid w:val="00250B2D"/>
    <w:rsid w:val="00250E9C"/>
    <w:rsid w:val="00252DB6"/>
    <w:rsid w:val="0025402C"/>
    <w:rsid w:val="0027010B"/>
    <w:rsid w:val="00283581"/>
    <w:rsid w:val="00284A39"/>
    <w:rsid w:val="00293131"/>
    <w:rsid w:val="002A398A"/>
    <w:rsid w:val="002A52E6"/>
    <w:rsid w:val="002B3D09"/>
    <w:rsid w:val="002C79EB"/>
    <w:rsid w:val="002E2EF4"/>
    <w:rsid w:val="002F1E51"/>
    <w:rsid w:val="002F7108"/>
    <w:rsid w:val="00335EE4"/>
    <w:rsid w:val="003453FF"/>
    <w:rsid w:val="00351726"/>
    <w:rsid w:val="00370D05"/>
    <w:rsid w:val="00373A2C"/>
    <w:rsid w:val="003A083D"/>
    <w:rsid w:val="003A2A48"/>
    <w:rsid w:val="003B65E2"/>
    <w:rsid w:val="003C30B6"/>
    <w:rsid w:val="003C4845"/>
    <w:rsid w:val="003C6479"/>
    <w:rsid w:val="003D5FC5"/>
    <w:rsid w:val="003E33B2"/>
    <w:rsid w:val="004006AE"/>
    <w:rsid w:val="00413674"/>
    <w:rsid w:val="004177B6"/>
    <w:rsid w:val="00420F56"/>
    <w:rsid w:val="00435195"/>
    <w:rsid w:val="0044606D"/>
    <w:rsid w:val="00455992"/>
    <w:rsid w:val="004706AB"/>
    <w:rsid w:val="00480A1B"/>
    <w:rsid w:val="00494673"/>
    <w:rsid w:val="004A069D"/>
    <w:rsid w:val="004A75A9"/>
    <w:rsid w:val="004B10DA"/>
    <w:rsid w:val="004B408E"/>
    <w:rsid w:val="004C2B94"/>
    <w:rsid w:val="004D56E9"/>
    <w:rsid w:val="004E00F7"/>
    <w:rsid w:val="004F2DB7"/>
    <w:rsid w:val="0050766D"/>
    <w:rsid w:val="005100AC"/>
    <w:rsid w:val="005656FD"/>
    <w:rsid w:val="00583DE9"/>
    <w:rsid w:val="005864F4"/>
    <w:rsid w:val="005C3709"/>
    <w:rsid w:val="005C3E28"/>
    <w:rsid w:val="005C5C86"/>
    <w:rsid w:val="005C726C"/>
    <w:rsid w:val="005D301D"/>
    <w:rsid w:val="005D62BC"/>
    <w:rsid w:val="005F1C7C"/>
    <w:rsid w:val="005F418F"/>
    <w:rsid w:val="006102D0"/>
    <w:rsid w:val="00611712"/>
    <w:rsid w:val="00622D87"/>
    <w:rsid w:val="006456FA"/>
    <w:rsid w:val="00654D65"/>
    <w:rsid w:val="006643E6"/>
    <w:rsid w:val="00670AAD"/>
    <w:rsid w:val="00673625"/>
    <w:rsid w:val="006844F7"/>
    <w:rsid w:val="0069607F"/>
    <w:rsid w:val="006D13BA"/>
    <w:rsid w:val="006E476D"/>
    <w:rsid w:val="006E60AF"/>
    <w:rsid w:val="006F0880"/>
    <w:rsid w:val="00705149"/>
    <w:rsid w:val="00713948"/>
    <w:rsid w:val="0071497E"/>
    <w:rsid w:val="007331E4"/>
    <w:rsid w:val="0073327C"/>
    <w:rsid w:val="007351B6"/>
    <w:rsid w:val="00741E37"/>
    <w:rsid w:val="007422BF"/>
    <w:rsid w:val="00746E7E"/>
    <w:rsid w:val="007751FA"/>
    <w:rsid w:val="00795D27"/>
    <w:rsid w:val="00796079"/>
    <w:rsid w:val="007B0E7A"/>
    <w:rsid w:val="007D30FB"/>
    <w:rsid w:val="007D3FBF"/>
    <w:rsid w:val="007F2CAC"/>
    <w:rsid w:val="0080415C"/>
    <w:rsid w:val="00845225"/>
    <w:rsid w:val="008473AC"/>
    <w:rsid w:val="00847F5C"/>
    <w:rsid w:val="00865CD6"/>
    <w:rsid w:val="00866C28"/>
    <w:rsid w:val="00891AFE"/>
    <w:rsid w:val="008923D7"/>
    <w:rsid w:val="008B61C3"/>
    <w:rsid w:val="008C16E6"/>
    <w:rsid w:val="008E1D9A"/>
    <w:rsid w:val="00902DC1"/>
    <w:rsid w:val="00917A6C"/>
    <w:rsid w:val="009215DD"/>
    <w:rsid w:val="00926FA5"/>
    <w:rsid w:val="009330C7"/>
    <w:rsid w:val="0093574B"/>
    <w:rsid w:val="009357FE"/>
    <w:rsid w:val="009371C0"/>
    <w:rsid w:val="00944F64"/>
    <w:rsid w:val="00945DCE"/>
    <w:rsid w:val="00950A16"/>
    <w:rsid w:val="00950EBC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9E6502"/>
    <w:rsid w:val="009F672C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2274"/>
    <w:rsid w:val="00A57BC5"/>
    <w:rsid w:val="00A60886"/>
    <w:rsid w:val="00A63D7D"/>
    <w:rsid w:val="00A65B37"/>
    <w:rsid w:val="00AA5B3E"/>
    <w:rsid w:val="00AA717C"/>
    <w:rsid w:val="00AE7834"/>
    <w:rsid w:val="00AF3B7E"/>
    <w:rsid w:val="00B03079"/>
    <w:rsid w:val="00B07441"/>
    <w:rsid w:val="00B10DD6"/>
    <w:rsid w:val="00B15105"/>
    <w:rsid w:val="00B402E2"/>
    <w:rsid w:val="00B44456"/>
    <w:rsid w:val="00B63AF0"/>
    <w:rsid w:val="00B63E71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81BEE"/>
    <w:rsid w:val="00C8629B"/>
    <w:rsid w:val="00CB4AAD"/>
    <w:rsid w:val="00CB6D75"/>
    <w:rsid w:val="00CC2E1C"/>
    <w:rsid w:val="00CE193B"/>
    <w:rsid w:val="00CE28E4"/>
    <w:rsid w:val="00CE4ECB"/>
    <w:rsid w:val="00D151F3"/>
    <w:rsid w:val="00D25974"/>
    <w:rsid w:val="00D30560"/>
    <w:rsid w:val="00D31BBC"/>
    <w:rsid w:val="00D34F42"/>
    <w:rsid w:val="00D4183D"/>
    <w:rsid w:val="00D50069"/>
    <w:rsid w:val="00D50223"/>
    <w:rsid w:val="00D66972"/>
    <w:rsid w:val="00D700A3"/>
    <w:rsid w:val="00D80104"/>
    <w:rsid w:val="00D923B5"/>
    <w:rsid w:val="00D95CC3"/>
    <w:rsid w:val="00D96778"/>
    <w:rsid w:val="00DC5B64"/>
    <w:rsid w:val="00DD159C"/>
    <w:rsid w:val="00DE6E60"/>
    <w:rsid w:val="00DF3E4C"/>
    <w:rsid w:val="00DF6694"/>
    <w:rsid w:val="00E16FB8"/>
    <w:rsid w:val="00E5092E"/>
    <w:rsid w:val="00E7436B"/>
    <w:rsid w:val="00E76CCE"/>
    <w:rsid w:val="00E80643"/>
    <w:rsid w:val="00EA03FD"/>
    <w:rsid w:val="00EB3A21"/>
    <w:rsid w:val="00EB54DE"/>
    <w:rsid w:val="00EC23C2"/>
    <w:rsid w:val="00EE09E7"/>
    <w:rsid w:val="00EF7CC0"/>
    <w:rsid w:val="00F05C2E"/>
    <w:rsid w:val="00F102DB"/>
    <w:rsid w:val="00F255CE"/>
    <w:rsid w:val="00F34206"/>
    <w:rsid w:val="00F347CD"/>
    <w:rsid w:val="00F844E9"/>
    <w:rsid w:val="00FB0C47"/>
    <w:rsid w:val="00FB1CEF"/>
    <w:rsid w:val="00FB3BE3"/>
    <w:rsid w:val="00FB440A"/>
    <w:rsid w:val="00FB4FD7"/>
    <w:rsid w:val="00FB67D3"/>
    <w:rsid w:val="00FC473A"/>
    <w:rsid w:val="00FD1266"/>
    <w:rsid w:val="00FE60E7"/>
    <w:rsid w:val="00FF1CAF"/>
    <w:rsid w:val="00FF50E7"/>
    <w:rsid w:val="00FF5F10"/>
    <w:rsid w:val="00FF71B0"/>
    <w:rsid w:val="35B8F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9D74B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geisler@purdue.edu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hyperlink" Target="https://www.purdue.edu/business/mas/property/propacct/pracctAssetMod.php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4" ma:contentTypeDescription="Create a new document." ma:contentTypeScope="" ma:versionID="b0b748344bf788fc5e9eaec7bcd5b28a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280cdc6297087b4d41e3393956fed464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 xsi:nil="true"/>
    <Focus xmlns="6a3fe875-a8e9-45dc-94b5-ed3dadebb3c4">
      <Value>4</Value>
    </Focus>
    <Document_x0020_Type xmlns="6a3fe875-a8e9-45dc-94b5-ed3dadebb3c4">QRG</Document_x0020_Type>
    <Course xmlns="6a3fe875-a8e9-45dc-94b5-ed3dadebb3c4" xsi:nil="true"/>
    <Role xmlns="6a3fe875-a8e9-45dc-94b5-ed3dadebb3c4">
      <Value>Requester</Value>
    </Role>
    <Duration_x0020__x0028_Video_x0029_ xmlns="6a3fe875-a8e9-45dc-94b5-ed3dadebb3c4" xsi:nil="true"/>
    <SharedWithUsers xmlns="4cb2af77-3bb3-4a4a-9193-528cfe74049e">
      <UserInfo>
        <DisplayName>Gemmecke, Tari J</DisplayName>
        <AccountId>67</AccountId>
        <AccountType/>
      </UserInfo>
      <UserInfo>
        <DisplayName>Wischmeier, Michelle</DisplayName>
        <AccountId>65</AccountId>
        <AccountType/>
      </UserInfo>
      <UserInfo>
        <DisplayName>Desai, Dharmi Firoz</DisplayName>
        <AccountId>63</AccountId>
        <AccountType/>
      </UserInfo>
      <UserInfo>
        <DisplayName>Procure Training Visitors</DisplayName>
        <AccountId>69</AccountId>
        <AccountType/>
      </UserInfo>
      <UserInfo>
        <DisplayName>Graf, Pamela K</DisplayName>
        <AccountId>64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4F0764-AE17-42AE-A4CA-A694751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4cb2af77-3bb3-4a4a-9193-528cfe74049e"/>
    <ds:schemaRef ds:uri="http://www.w3.org/XML/1998/namespace"/>
    <ds:schemaRef ds:uri="http://purl.org/dc/terms/"/>
    <ds:schemaRef ds:uri="http://purl.org/dc/elements/1.1/"/>
    <ds:schemaRef ds:uri="6a3fe875-a8e9-45dc-94b5-ed3dadebb3c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95F301E-4356-4CF9-99BA-7C98CF69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Alternate Ship To Address</vt:lpstr>
    </vt:vector>
  </TitlesOfParts>
  <Company>Purdue University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Alternate Ship To Address</dc:title>
  <dc:creator>Weatherford, Tiffany LB</dc:creator>
  <cp:lastModifiedBy>Roskuski, Michelle L</cp:lastModifiedBy>
  <cp:revision>2</cp:revision>
  <cp:lastPrinted>2013-02-01T19:51:00Z</cp:lastPrinted>
  <dcterms:created xsi:type="dcterms:W3CDTF">2023-10-13T13:38:00Z</dcterms:created>
  <dcterms:modified xsi:type="dcterms:W3CDTF">2023-10-13T13:38:00Z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4100</vt:r8>
  </property>
  <property fmtid="{D5CDD505-2E9C-101B-9397-08002B2CF9AE}" pid="7" name="_ExtendedDescription">
    <vt:lpwstr/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2023-04-21T15:07:26Z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4e355b2d-ea95-483c-b5f6-edd514cd8a9b</vt:lpwstr>
  </property>
  <property fmtid="{D5CDD505-2E9C-101B-9397-08002B2CF9AE}" pid="14" name="MSIP_Label_4044bd30-2ed7-4c9d-9d12-46200872a97b_ContentBits">
    <vt:lpwstr>0</vt:lpwstr>
  </property>
</Properties>
</file>