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1320" w14:textId="77777777" w:rsidR="003D5FC5" w:rsidRPr="003D5FC5" w:rsidRDefault="00BF45F0" w:rsidP="00B807CA">
      <w:pPr>
        <w:rPr>
          <w:rFonts w:cs="Arial"/>
          <w:b/>
        </w:rPr>
      </w:pPr>
      <w:r>
        <w:rPr>
          <w:rFonts w:cs="Arial"/>
          <w:b/>
        </w:rPr>
        <w:t>GRIR Report – Management and Oversight Supplemental Guide</w:t>
      </w:r>
    </w:p>
    <w:p w14:paraId="73939B99" w14:textId="500997E2" w:rsidR="003D5FC5" w:rsidRDefault="003D5FC5" w:rsidP="00B807CA">
      <w:pPr>
        <w:rPr>
          <w:rFonts w:cs="Arial"/>
        </w:rPr>
      </w:pPr>
      <w:r w:rsidRPr="003D5FC5">
        <w:rPr>
          <w:rFonts w:cs="Arial"/>
          <w:b/>
        </w:rPr>
        <w:t>Last Updated</w:t>
      </w:r>
      <w:r w:rsidR="00796079">
        <w:rPr>
          <w:rFonts w:cs="Arial"/>
        </w:rPr>
        <w:t>:</w:t>
      </w:r>
      <w:r w:rsidR="00BF45F0">
        <w:rPr>
          <w:rFonts w:cs="Arial"/>
        </w:rPr>
        <w:t xml:space="preserve"> </w:t>
      </w:r>
      <w:r w:rsidR="00D56597">
        <w:rPr>
          <w:rFonts w:cs="Arial"/>
        </w:rPr>
        <w:t>04/2023</w:t>
      </w:r>
    </w:p>
    <w:p w14:paraId="2EF910E8" w14:textId="4FFC18C1" w:rsidR="001F71C4" w:rsidRPr="0092291A" w:rsidRDefault="001F71C4" w:rsidP="001F71C4">
      <w:r>
        <w:t xml:space="preserve">This document provides the management and oversight for the Goods Receipt Invoice Receipt, or GRIR report. The report should be reviewed regularly by each area for needed action </w:t>
      </w:r>
      <w:r w:rsidR="009B5858">
        <w:t>online</w:t>
      </w:r>
      <w:r>
        <w:t xml:space="preserve"> items. </w:t>
      </w:r>
    </w:p>
    <w:p w14:paraId="26BA3F39" w14:textId="77777777" w:rsidR="00A36FEB" w:rsidRPr="00F347CD" w:rsidRDefault="00A36FEB" w:rsidP="00F347CD">
      <w:pPr>
        <w:spacing w:after="0"/>
        <w:rPr>
          <w:rFonts w:cs="Arial"/>
          <w:vanish/>
        </w:rPr>
      </w:pP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174"/>
        <w:gridCol w:w="7596"/>
      </w:tblGrid>
      <w:tr w:rsidR="002A52E6" w:rsidRPr="00D80104" w14:paraId="0697D8E5" w14:textId="77777777" w:rsidTr="007D30FB">
        <w:tc>
          <w:tcPr>
            <w:tcW w:w="10770" w:type="dxa"/>
            <w:gridSpan w:val="2"/>
            <w:shd w:val="clear" w:color="auto" w:fill="BAA892"/>
            <w:vAlign w:val="center"/>
          </w:tcPr>
          <w:p w14:paraId="52183AE2" w14:textId="77777777" w:rsidR="002A52E6" w:rsidRPr="007D30FB" w:rsidRDefault="00BF45F0" w:rsidP="0027010B">
            <w:pPr>
              <w:pStyle w:val="Heading2"/>
              <w:rPr>
                <w:noProof/>
              </w:rPr>
            </w:pPr>
            <w:bookmarkStart w:id="0" w:name="_Access_Ariba"/>
            <w:bookmarkEnd w:id="0"/>
            <w:r>
              <w:rPr>
                <w:noProof/>
              </w:rPr>
              <w:t>Management</w:t>
            </w:r>
          </w:p>
        </w:tc>
      </w:tr>
      <w:tr w:rsidR="00BF45F0" w:rsidRPr="005D4CEC" w14:paraId="62C8FD38" w14:textId="77777777" w:rsidTr="00637CFB">
        <w:tc>
          <w:tcPr>
            <w:tcW w:w="10770" w:type="dxa"/>
            <w:gridSpan w:val="2"/>
            <w:shd w:val="clear" w:color="auto" w:fill="auto"/>
            <w:vAlign w:val="center"/>
          </w:tcPr>
          <w:p w14:paraId="0A686A77" w14:textId="77777777" w:rsidR="00BF45F0" w:rsidRPr="005D4CEC" w:rsidRDefault="00BF45F0" w:rsidP="00F347CD">
            <w:pPr>
              <w:spacing w:before="60" w:after="60"/>
              <w:rPr>
                <w:rFonts w:cs="Arial"/>
                <w:bCs/>
              </w:rPr>
            </w:pPr>
            <w:r w:rsidRPr="005D4CEC">
              <w:rPr>
                <w:rFonts w:cs="Arial"/>
              </w:rPr>
              <w:t>First identifier is the Action; the second identifier is the Days Old field.</w:t>
            </w:r>
          </w:p>
        </w:tc>
      </w:tr>
      <w:tr w:rsidR="00BF45F0" w:rsidRPr="005D4CEC" w14:paraId="4976BF69" w14:textId="77777777" w:rsidTr="007D30FB">
        <w:tc>
          <w:tcPr>
            <w:tcW w:w="3174" w:type="dxa"/>
            <w:shd w:val="clear" w:color="auto" w:fill="auto"/>
            <w:vAlign w:val="center"/>
          </w:tcPr>
          <w:p w14:paraId="53A72AB4" w14:textId="77777777" w:rsidR="00BF45F0" w:rsidRPr="005D4CEC" w:rsidRDefault="00BF45F0" w:rsidP="00F347CD">
            <w:pPr>
              <w:spacing w:before="60" w:after="60"/>
              <w:rPr>
                <w:rFonts w:cs="Arial"/>
                <w:bCs/>
              </w:rPr>
            </w:pPr>
            <w:r w:rsidRPr="005D4CEC">
              <w:rPr>
                <w:rFonts w:cs="Arial"/>
                <w:b/>
              </w:rPr>
              <w:t>Return Delivery</w:t>
            </w:r>
          </w:p>
        </w:tc>
        <w:tc>
          <w:tcPr>
            <w:tcW w:w="7596" w:type="dxa"/>
            <w:shd w:val="clear" w:color="auto" w:fill="auto"/>
            <w:vAlign w:val="center"/>
          </w:tcPr>
          <w:p w14:paraId="4F1E21AB" w14:textId="77777777" w:rsidR="00BF45F0" w:rsidRPr="005D4CEC" w:rsidRDefault="00BF45F0" w:rsidP="00BF45F0">
            <w:pPr>
              <w:pStyle w:val="ListParagraph"/>
              <w:numPr>
                <w:ilvl w:val="0"/>
                <w:numId w:val="20"/>
              </w:numPr>
              <w:rPr>
                <w:rFonts w:cs="Arial"/>
                <w:szCs w:val="20"/>
              </w:rPr>
            </w:pPr>
            <w:r w:rsidRPr="005D4CEC">
              <w:rPr>
                <w:rFonts w:cs="Arial"/>
                <w:szCs w:val="20"/>
              </w:rPr>
              <w:t xml:space="preserve">Review as soon as possible. </w:t>
            </w:r>
          </w:p>
          <w:p w14:paraId="51FE74A3" w14:textId="77777777" w:rsidR="00BF45F0" w:rsidRPr="005D4CEC" w:rsidRDefault="00BF45F0" w:rsidP="00BF45F0">
            <w:pPr>
              <w:pStyle w:val="ListParagraph"/>
              <w:numPr>
                <w:ilvl w:val="0"/>
                <w:numId w:val="20"/>
              </w:numPr>
              <w:rPr>
                <w:rFonts w:cs="Arial"/>
                <w:b/>
                <w:szCs w:val="20"/>
              </w:rPr>
            </w:pPr>
            <w:r w:rsidRPr="005D4CEC">
              <w:rPr>
                <w:rFonts w:cs="Arial"/>
                <w:szCs w:val="20"/>
              </w:rPr>
              <w:t>Review the Invoice Reconciliation and IRE Approval reports for pending invoices.</w:t>
            </w:r>
          </w:p>
          <w:p w14:paraId="29CD710D" w14:textId="77777777" w:rsidR="00BF45F0" w:rsidRPr="005D4CEC" w:rsidRDefault="00BF45F0" w:rsidP="00BF45F0">
            <w:pPr>
              <w:pStyle w:val="ListParagraph"/>
              <w:numPr>
                <w:ilvl w:val="0"/>
                <w:numId w:val="20"/>
              </w:numPr>
              <w:rPr>
                <w:rFonts w:cs="Arial"/>
                <w:b/>
                <w:szCs w:val="20"/>
              </w:rPr>
            </w:pPr>
            <w:r w:rsidRPr="005D4CEC">
              <w:rPr>
                <w:rFonts w:cs="Arial"/>
                <w:szCs w:val="20"/>
              </w:rPr>
              <w:t>Verify additional/replacement items will not be received.  If no, process the return delivery in Ariba and close the PO.</w:t>
            </w:r>
          </w:p>
        </w:tc>
      </w:tr>
      <w:tr w:rsidR="00BF45F0" w:rsidRPr="005D4CEC" w14:paraId="50DE4E12" w14:textId="77777777" w:rsidTr="007D30FB">
        <w:tc>
          <w:tcPr>
            <w:tcW w:w="3174" w:type="dxa"/>
            <w:shd w:val="clear" w:color="auto" w:fill="auto"/>
            <w:vAlign w:val="center"/>
          </w:tcPr>
          <w:p w14:paraId="6B9A081E" w14:textId="77777777" w:rsidR="00BF45F0" w:rsidRPr="005D4CEC" w:rsidRDefault="00BF45F0" w:rsidP="00F347CD">
            <w:pPr>
              <w:spacing w:before="60" w:after="60"/>
              <w:rPr>
                <w:rFonts w:cs="Arial"/>
                <w:bCs/>
              </w:rPr>
            </w:pPr>
            <w:r w:rsidRPr="005D4CEC">
              <w:rPr>
                <w:rFonts w:cs="Arial"/>
                <w:b/>
              </w:rPr>
              <w:t>Quantity Issue</w:t>
            </w:r>
          </w:p>
        </w:tc>
        <w:tc>
          <w:tcPr>
            <w:tcW w:w="7596" w:type="dxa"/>
            <w:shd w:val="clear" w:color="auto" w:fill="auto"/>
            <w:vAlign w:val="center"/>
          </w:tcPr>
          <w:p w14:paraId="0F365319" w14:textId="77777777" w:rsidR="00BF45F0" w:rsidRPr="005D4CEC" w:rsidRDefault="00BF45F0" w:rsidP="00BF45F0">
            <w:pPr>
              <w:pStyle w:val="ListParagraph"/>
              <w:numPr>
                <w:ilvl w:val="0"/>
                <w:numId w:val="22"/>
              </w:numPr>
              <w:rPr>
                <w:rFonts w:cs="Arial"/>
                <w:b/>
                <w:szCs w:val="20"/>
              </w:rPr>
            </w:pPr>
            <w:r w:rsidRPr="005D4CEC">
              <w:rPr>
                <w:rFonts w:cs="Arial"/>
                <w:szCs w:val="20"/>
              </w:rPr>
              <w:t>Review as soon as possible.</w:t>
            </w:r>
            <w:r w:rsidRPr="005D4CEC">
              <w:rPr>
                <w:rFonts w:cs="Arial"/>
                <w:b/>
                <w:szCs w:val="20"/>
              </w:rPr>
              <w:t xml:space="preserve">  </w:t>
            </w:r>
          </w:p>
          <w:p w14:paraId="321EA4A6" w14:textId="77777777" w:rsidR="00BF45F0" w:rsidRPr="005D4CEC" w:rsidRDefault="00BF45F0" w:rsidP="00BF45F0">
            <w:pPr>
              <w:pStyle w:val="ListParagraph"/>
              <w:numPr>
                <w:ilvl w:val="0"/>
                <w:numId w:val="22"/>
              </w:numPr>
              <w:rPr>
                <w:rFonts w:cs="Arial"/>
                <w:szCs w:val="20"/>
              </w:rPr>
            </w:pPr>
            <w:r w:rsidRPr="005D4CEC">
              <w:rPr>
                <w:rFonts w:cs="Arial"/>
                <w:szCs w:val="20"/>
              </w:rPr>
              <w:t xml:space="preserve">GR &gt; IR:  </w:t>
            </w:r>
          </w:p>
          <w:p w14:paraId="5C9F417B" w14:textId="3601D362" w:rsidR="00BF45F0" w:rsidRPr="005D4CEC" w:rsidRDefault="00BF45F0" w:rsidP="00BF45F0">
            <w:pPr>
              <w:pStyle w:val="ListParagraph"/>
              <w:numPr>
                <w:ilvl w:val="1"/>
                <w:numId w:val="22"/>
              </w:numPr>
              <w:rPr>
                <w:rFonts w:cs="Arial"/>
                <w:szCs w:val="20"/>
              </w:rPr>
            </w:pPr>
            <w:r w:rsidRPr="005D4CEC">
              <w:rPr>
                <w:rFonts w:cs="Arial"/>
                <w:szCs w:val="20"/>
              </w:rPr>
              <w:t xml:space="preserve">Validate the quantity of items physically </w:t>
            </w:r>
            <w:r w:rsidR="00B94FE1" w:rsidRPr="005D4CEC">
              <w:rPr>
                <w:rFonts w:cs="Arial"/>
                <w:szCs w:val="20"/>
              </w:rPr>
              <w:t>received and</w:t>
            </w:r>
            <w:r w:rsidRPr="005D4CEC">
              <w:rPr>
                <w:rFonts w:cs="Arial"/>
                <w:szCs w:val="20"/>
              </w:rPr>
              <w:t xml:space="preserve"> correct in Ariba if necessary. </w:t>
            </w:r>
          </w:p>
          <w:p w14:paraId="649FE8F8" w14:textId="77777777" w:rsidR="00BF45F0" w:rsidRPr="005D4CEC" w:rsidRDefault="00BF45F0" w:rsidP="00BF45F0">
            <w:pPr>
              <w:pStyle w:val="ListParagraph"/>
              <w:numPr>
                <w:ilvl w:val="1"/>
                <w:numId w:val="22"/>
              </w:numPr>
              <w:rPr>
                <w:rFonts w:cs="Arial"/>
                <w:szCs w:val="20"/>
              </w:rPr>
            </w:pPr>
            <w:r w:rsidRPr="005D4CEC">
              <w:rPr>
                <w:rFonts w:cs="Arial"/>
                <w:szCs w:val="20"/>
              </w:rPr>
              <w:t>Review the Invoice Reconciliation and IRE Approval reports for pending invoices and process any needed reconciliations, if applicable.</w:t>
            </w:r>
          </w:p>
          <w:p w14:paraId="65B95167" w14:textId="77777777" w:rsidR="00BF45F0" w:rsidRPr="005D4CEC" w:rsidRDefault="00BF45F0" w:rsidP="00BF45F0">
            <w:pPr>
              <w:pStyle w:val="ListParagraph"/>
              <w:numPr>
                <w:ilvl w:val="0"/>
                <w:numId w:val="22"/>
              </w:numPr>
              <w:rPr>
                <w:rFonts w:cs="Arial"/>
                <w:szCs w:val="20"/>
              </w:rPr>
            </w:pPr>
            <w:r w:rsidRPr="005D4CEC">
              <w:rPr>
                <w:rFonts w:cs="Arial"/>
                <w:szCs w:val="20"/>
              </w:rPr>
              <w:t xml:space="preserve">IR &gt; GR:  </w:t>
            </w:r>
          </w:p>
          <w:p w14:paraId="1174B80F" w14:textId="3406DAA0" w:rsidR="00BF45F0" w:rsidRPr="005D4CEC" w:rsidRDefault="00BF45F0" w:rsidP="00BF45F0">
            <w:pPr>
              <w:pStyle w:val="ListParagraph"/>
              <w:numPr>
                <w:ilvl w:val="1"/>
                <w:numId w:val="22"/>
              </w:numPr>
              <w:rPr>
                <w:rFonts w:cs="Arial"/>
                <w:szCs w:val="20"/>
              </w:rPr>
            </w:pPr>
            <w:r w:rsidRPr="005D4CEC">
              <w:rPr>
                <w:rFonts w:cs="Arial"/>
                <w:szCs w:val="20"/>
              </w:rPr>
              <w:t xml:space="preserve">Validate the quantity of items physically </w:t>
            </w:r>
            <w:r w:rsidR="00B94FE1" w:rsidRPr="005D4CEC">
              <w:rPr>
                <w:rFonts w:cs="Arial"/>
                <w:szCs w:val="20"/>
              </w:rPr>
              <w:t>received and</w:t>
            </w:r>
            <w:r w:rsidRPr="005D4CEC">
              <w:rPr>
                <w:rFonts w:cs="Arial"/>
                <w:szCs w:val="20"/>
              </w:rPr>
              <w:t xml:space="preserve"> correct in Ariba if necessary.  </w:t>
            </w:r>
          </w:p>
          <w:p w14:paraId="45C5D08B" w14:textId="77777777" w:rsidR="00BF45F0" w:rsidRPr="005D4CEC" w:rsidRDefault="00BF45F0" w:rsidP="00BF45F0">
            <w:pPr>
              <w:pStyle w:val="ListParagraph"/>
              <w:numPr>
                <w:ilvl w:val="1"/>
                <w:numId w:val="22"/>
              </w:numPr>
              <w:rPr>
                <w:rFonts w:cs="Arial"/>
                <w:szCs w:val="20"/>
              </w:rPr>
            </w:pPr>
            <w:r w:rsidRPr="005D4CEC">
              <w:rPr>
                <w:rFonts w:cs="Arial"/>
                <w:szCs w:val="20"/>
              </w:rPr>
              <w:t xml:space="preserve">If the full GR has already been processed, contact </w:t>
            </w:r>
            <w:hyperlink r:id="rId12" w:history="1">
              <w:r w:rsidRPr="005D4CEC">
                <w:rPr>
                  <w:rStyle w:val="Hyperlink"/>
                  <w:rFonts w:cs="Arial"/>
                  <w:szCs w:val="20"/>
                </w:rPr>
                <w:t>AP@purdue.</w:t>
              </w:r>
              <w:r w:rsidRPr="005D4CEC">
                <w:rPr>
                  <w:rStyle w:val="Hyperlink"/>
                  <w:rFonts w:cs="Arial"/>
                  <w:szCs w:val="20"/>
                </w:rPr>
                <w:t>e</w:t>
              </w:r>
              <w:r w:rsidRPr="005D4CEC">
                <w:rPr>
                  <w:rStyle w:val="Hyperlink"/>
                  <w:rFonts w:cs="Arial"/>
                  <w:szCs w:val="20"/>
                </w:rPr>
                <w:t>du</w:t>
              </w:r>
            </w:hyperlink>
            <w:r w:rsidRPr="005D4CEC">
              <w:rPr>
                <w:rFonts w:cs="Arial"/>
                <w:szCs w:val="20"/>
              </w:rPr>
              <w:t xml:space="preserve">.  They will need to manually clear the GRIR.  </w:t>
            </w:r>
          </w:p>
        </w:tc>
      </w:tr>
      <w:tr w:rsidR="00BF45F0" w:rsidRPr="005D4CEC" w14:paraId="77801EDD" w14:textId="77777777" w:rsidTr="007D30FB">
        <w:tc>
          <w:tcPr>
            <w:tcW w:w="3174" w:type="dxa"/>
            <w:shd w:val="clear" w:color="auto" w:fill="auto"/>
            <w:vAlign w:val="center"/>
          </w:tcPr>
          <w:p w14:paraId="7B65DFC1" w14:textId="77777777" w:rsidR="00BF45F0" w:rsidRPr="005D4CEC" w:rsidRDefault="00BF45F0" w:rsidP="00F347CD">
            <w:pPr>
              <w:spacing w:before="60" w:after="60"/>
              <w:rPr>
                <w:rFonts w:cs="Arial"/>
                <w:bCs/>
              </w:rPr>
            </w:pPr>
            <w:r w:rsidRPr="005D4CEC">
              <w:rPr>
                <w:rFonts w:cs="Arial"/>
                <w:b/>
              </w:rPr>
              <w:t>Invoice Needed</w:t>
            </w:r>
          </w:p>
        </w:tc>
        <w:tc>
          <w:tcPr>
            <w:tcW w:w="7596" w:type="dxa"/>
            <w:shd w:val="clear" w:color="auto" w:fill="auto"/>
            <w:vAlign w:val="center"/>
          </w:tcPr>
          <w:p w14:paraId="0E45D971" w14:textId="77777777" w:rsidR="00BF45F0" w:rsidRPr="005D4CEC" w:rsidRDefault="00BF45F0" w:rsidP="00BF45F0">
            <w:pPr>
              <w:pStyle w:val="ListParagraph"/>
              <w:numPr>
                <w:ilvl w:val="0"/>
                <w:numId w:val="23"/>
              </w:numPr>
              <w:rPr>
                <w:rFonts w:cs="Arial"/>
                <w:szCs w:val="20"/>
              </w:rPr>
            </w:pPr>
            <w:r w:rsidRPr="005D4CEC">
              <w:rPr>
                <w:rFonts w:cs="Arial"/>
                <w:szCs w:val="20"/>
              </w:rPr>
              <w:t xml:space="preserve">Validate that the item(s) were physically received should be completed at 30 days, if not physically received, and then the receipt should be reversed in Ariba.  </w:t>
            </w:r>
          </w:p>
          <w:p w14:paraId="28B36DF0" w14:textId="77777777" w:rsidR="00BF45F0" w:rsidRPr="005D4CEC" w:rsidRDefault="00BF45F0" w:rsidP="00BF45F0">
            <w:pPr>
              <w:pStyle w:val="ListParagraph"/>
              <w:numPr>
                <w:ilvl w:val="0"/>
                <w:numId w:val="23"/>
              </w:numPr>
              <w:rPr>
                <w:rFonts w:cs="Arial"/>
                <w:szCs w:val="20"/>
              </w:rPr>
            </w:pPr>
            <w:r w:rsidRPr="005D4CEC">
              <w:rPr>
                <w:rFonts w:cs="Arial"/>
                <w:szCs w:val="20"/>
              </w:rPr>
              <w:t xml:space="preserve">If the item(s) will not be received, the PO should be closed in Ariba.  </w:t>
            </w:r>
          </w:p>
          <w:p w14:paraId="068D5846" w14:textId="77777777" w:rsidR="00BF45F0" w:rsidRPr="005D4CEC" w:rsidRDefault="00BF45F0" w:rsidP="00BF45F0">
            <w:pPr>
              <w:pStyle w:val="ListParagraph"/>
              <w:numPr>
                <w:ilvl w:val="0"/>
                <w:numId w:val="23"/>
              </w:numPr>
              <w:rPr>
                <w:rFonts w:cs="Arial"/>
                <w:szCs w:val="20"/>
              </w:rPr>
            </w:pPr>
            <w:r w:rsidRPr="005D4CEC">
              <w:rPr>
                <w:rFonts w:cs="Arial"/>
                <w:szCs w:val="20"/>
              </w:rPr>
              <w:t xml:space="preserve">If the items are still expected, an email with the updated delivery date should be sent to </w:t>
            </w:r>
            <w:hyperlink r:id="rId13" w:history="1">
              <w:r w:rsidRPr="005D4CEC">
                <w:rPr>
                  <w:rStyle w:val="Hyperlink"/>
                  <w:rFonts w:cs="Arial"/>
                  <w:szCs w:val="20"/>
                </w:rPr>
                <w:t>pshelpdesk@purdue.edu</w:t>
              </w:r>
            </w:hyperlink>
            <w:r w:rsidRPr="005D4CEC">
              <w:rPr>
                <w:rFonts w:cs="Arial"/>
                <w:szCs w:val="20"/>
              </w:rPr>
              <w:t xml:space="preserve">. </w:t>
            </w:r>
          </w:p>
        </w:tc>
      </w:tr>
      <w:tr w:rsidR="00BF45F0" w:rsidRPr="005D4CEC" w14:paraId="6D352E52" w14:textId="77777777" w:rsidTr="007D30FB">
        <w:tc>
          <w:tcPr>
            <w:tcW w:w="3174" w:type="dxa"/>
            <w:shd w:val="clear" w:color="auto" w:fill="auto"/>
            <w:vAlign w:val="center"/>
          </w:tcPr>
          <w:p w14:paraId="092CEF49" w14:textId="77777777" w:rsidR="00BF45F0" w:rsidRPr="005D4CEC" w:rsidRDefault="00BF45F0" w:rsidP="00F347CD">
            <w:pPr>
              <w:spacing w:before="60" w:after="60"/>
              <w:rPr>
                <w:rFonts w:cs="Arial"/>
                <w:bCs/>
              </w:rPr>
            </w:pPr>
            <w:r w:rsidRPr="005D4CEC">
              <w:rPr>
                <w:rFonts w:cs="Arial"/>
                <w:b/>
              </w:rPr>
              <w:t>Credit Memo Needed</w:t>
            </w:r>
          </w:p>
        </w:tc>
        <w:tc>
          <w:tcPr>
            <w:tcW w:w="7596" w:type="dxa"/>
            <w:shd w:val="clear" w:color="auto" w:fill="auto"/>
            <w:vAlign w:val="center"/>
          </w:tcPr>
          <w:p w14:paraId="1BE485AF" w14:textId="77777777" w:rsidR="00BF45F0" w:rsidRPr="005D4CEC" w:rsidRDefault="00BF45F0" w:rsidP="00BF45F0">
            <w:pPr>
              <w:pStyle w:val="ListParagraph"/>
              <w:numPr>
                <w:ilvl w:val="0"/>
                <w:numId w:val="24"/>
              </w:numPr>
              <w:rPr>
                <w:rFonts w:cs="Arial"/>
                <w:szCs w:val="20"/>
              </w:rPr>
            </w:pPr>
            <w:r w:rsidRPr="005D4CEC">
              <w:rPr>
                <w:rFonts w:cs="Arial"/>
                <w:szCs w:val="20"/>
              </w:rPr>
              <w:t>Credit will be in the form of a check for all vendors, except our strategic partners.</w:t>
            </w:r>
          </w:p>
          <w:p w14:paraId="28E94CF6" w14:textId="77777777" w:rsidR="00BF45F0" w:rsidRPr="005D4CEC" w:rsidRDefault="00BF45F0" w:rsidP="00BF45F0">
            <w:pPr>
              <w:pStyle w:val="ListParagraph"/>
              <w:numPr>
                <w:ilvl w:val="0"/>
                <w:numId w:val="24"/>
              </w:numPr>
              <w:rPr>
                <w:rFonts w:cs="Arial"/>
                <w:szCs w:val="20"/>
              </w:rPr>
            </w:pPr>
            <w:r w:rsidRPr="005D4CEC">
              <w:rPr>
                <w:rFonts w:cs="Arial"/>
                <w:szCs w:val="20"/>
              </w:rPr>
              <w:t xml:space="preserve">Should be reviewed within 30 days, if no vendor response or unsatisfactory results please include Procurement Services to assist in resolving the situation.  </w:t>
            </w:r>
          </w:p>
          <w:p w14:paraId="193A50A9" w14:textId="77777777" w:rsidR="00BF45F0" w:rsidRPr="005D4CEC" w:rsidRDefault="00BF45F0" w:rsidP="00BF45F0">
            <w:pPr>
              <w:pStyle w:val="ListParagraph"/>
              <w:numPr>
                <w:ilvl w:val="0"/>
                <w:numId w:val="24"/>
              </w:numPr>
              <w:rPr>
                <w:rFonts w:cs="Arial"/>
                <w:szCs w:val="20"/>
              </w:rPr>
            </w:pPr>
            <w:r w:rsidRPr="005D4CEC">
              <w:rPr>
                <w:rFonts w:cs="Arial"/>
                <w:szCs w:val="20"/>
              </w:rPr>
              <w:t xml:space="preserve">An email to </w:t>
            </w:r>
            <w:hyperlink r:id="rId14" w:history="1">
              <w:r w:rsidRPr="005D4CEC">
                <w:rPr>
                  <w:rStyle w:val="Hyperlink"/>
                  <w:rFonts w:cs="Arial"/>
                  <w:szCs w:val="20"/>
                </w:rPr>
                <w:t>pshelpdesk@purdue.edu</w:t>
              </w:r>
            </w:hyperlink>
            <w:r w:rsidRPr="005D4CEC">
              <w:rPr>
                <w:rFonts w:cs="Arial"/>
                <w:szCs w:val="20"/>
              </w:rPr>
              <w:t xml:space="preserve"> with details of the activities taken place to date, with contact information.   </w:t>
            </w:r>
          </w:p>
        </w:tc>
      </w:tr>
      <w:tr w:rsidR="00BF45F0" w:rsidRPr="005D4CEC" w14:paraId="4832D54B" w14:textId="77777777" w:rsidTr="007D30FB">
        <w:tc>
          <w:tcPr>
            <w:tcW w:w="3174" w:type="dxa"/>
            <w:shd w:val="clear" w:color="auto" w:fill="auto"/>
            <w:vAlign w:val="center"/>
          </w:tcPr>
          <w:p w14:paraId="2C3EF235" w14:textId="77777777" w:rsidR="00BF45F0" w:rsidRPr="005D4CEC" w:rsidRDefault="00BF45F0" w:rsidP="00F347CD">
            <w:pPr>
              <w:spacing w:before="60" w:after="60"/>
              <w:rPr>
                <w:rFonts w:cs="Arial"/>
                <w:bCs/>
              </w:rPr>
            </w:pPr>
            <w:r w:rsidRPr="005D4CEC">
              <w:rPr>
                <w:rFonts w:cs="Arial"/>
                <w:b/>
              </w:rPr>
              <w:t>Blocked Invoice</w:t>
            </w:r>
          </w:p>
        </w:tc>
        <w:tc>
          <w:tcPr>
            <w:tcW w:w="7596" w:type="dxa"/>
            <w:shd w:val="clear" w:color="auto" w:fill="auto"/>
            <w:vAlign w:val="center"/>
          </w:tcPr>
          <w:p w14:paraId="05DE9CD2" w14:textId="77777777" w:rsidR="00BF45F0" w:rsidRPr="005D4CEC" w:rsidRDefault="00BF45F0" w:rsidP="00BF45F0">
            <w:pPr>
              <w:pStyle w:val="ListParagraph"/>
              <w:numPr>
                <w:ilvl w:val="0"/>
                <w:numId w:val="25"/>
              </w:numPr>
              <w:spacing w:before="60" w:after="60"/>
              <w:rPr>
                <w:rFonts w:cs="Arial"/>
                <w:bCs/>
                <w:szCs w:val="20"/>
              </w:rPr>
            </w:pPr>
            <w:r w:rsidRPr="005D4CEC">
              <w:rPr>
                <w:rFonts w:cs="Arial"/>
                <w:szCs w:val="20"/>
              </w:rPr>
              <w:t>Blocked Invoices are reviewed centrally in Procurement Services and if department action is required, the department will be contacted.</w:t>
            </w:r>
          </w:p>
        </w:tc>
      </w:tr>
      <w:tr w:rsidR="00796079" w:rsidRPr="005D4CEC" w14:paraId="11723BBD" w14:textId="77777777" w:rsidTr="007D30FB">
        <w:tc>
          <w:tcPr>
            <w:tcW w:w="3174" w:type="dxa"/>
            <w:shd w:val="clear" w:color="auto" w:fill="auto"/>
            <w:vAlign w:val="center"/>
          </w:tcPr>
          <w:p w14:paraId="612D7024" w14:textId="77777777" w:rsidR="00796079" w:rsidRPr="005D4CEC" w:rsidRDefault="00BF45F0" w:rsidP="00F347CD">
            <w:pPr>
              <w:spacing w:before="60" w:after="60"/>
              <w:rPr>
                <w:rFonts w:cs="Arial"/>
                <w:bCs/>
              </w:rPr>
            </w:pPr>
            <w:r w:rsidRPr="005D4CEC">
              <w:rPr>
                <w:rFonts w:cs="Arial"/>
                <w:b/>
              </w:rPr>
              <w:t>Other Issue</w:t>
            </w:r>
          </w:p>
        </w:tc>
        <w:tc>
          <w:tcPr>
            <w:tcW w:w="7596" w:type="dxa"/>
            <w:shd w:val="clear" w:color="auto" w:fill="auto"/>
            <w:vAlign w:val="center"/>
          </w:tcPr>
          <w:p w14:paraId="27340360" w14:textId="77777777" w:rsidR="00796079" w:rsidRPr="005D4CEC" w:rsidRDefault="00BF45F0" w:rsidP="00BF45F0">
            <w:pPr>
              <w:pStyle w:val="ListParagraph"/>
              <w:numPr>
                <w:ilvl w:val="0"/>
                <w:numId w:val="25"/>
              </w:numPr>
              <w:spacing w:before="60" w:after="60"/>
              <w:rPr>
                <w:rFonts w:cs="Arial"/>
                <w:bCs/>
                <w:szCs w:val="20"/>
              </w:rPr>
            </w:pPr>
            <w:r w:rsidRPr="005D4CEC">
              <w:rPr>
                <w:rFonts w:cs="Arial"/>
                <w:szCs w:val="20"/>
              </w:rPr>
              <w:t>Procurement Services will be reviewing these and if department action is required, the department will be contacted.</w:t>
            </w:r>
          </w:p>
        </w:tc>
      </w:tr>
      <w:tr w:rsidR="00A36FEB" w:rsidRPr="00D80104" w14:paraId="20EB058C" w14:textId="77777777" w:rsidTr="007D30FB">
        <w:tc>
          <w:tcPr>
            <w:tcW w:w="10770" w:type="dxa"/>
            <w:gridSpan w:val="2"/>
            <w:shd w:val="clear" w:color="auto" w:fill="BAA892"/>
            <w:vAlign w:val="center"/>
          </w:tcPr>
          <w:p w14:paraId="666A8E89" w14:textId="77777777" w:rsidR="00A36FEB" w:rsidRPr="00D80104" w:rsidRDefault="00BF45F0" w:rsidP="00C81BEE">
            <w:pPr>
              <w:pStyle w:val="Heading2"/>
              <w:rPr>
                <w:noProof/>
              </w:rPr>
            </w:pPr>
            <w:bookmarkStart w:id="1" w:name="_Heading_2"/>
            <w:bookmarkStart w:id="2" w:name="_Adding_Items_to"/>
            <w:bookmarkEnd w:id="1"/>
            <w:bookmarkEnd w:id="2"/>
            <w:r>
              <w:rPr>
                <w:noProof/>
              </w:rPr>
              <w:t>Oversight</w:t>
            </w:r>
          </w:p>
        </w:tc>
      </w:tr>
      <w:tr w:rsidR="00B7096D" w:rsidRPr="00B7096D" w14:paraId="0FAC1206" w14:textId="77777777" w:rsidTr="00637CFB">
        <w:tc>
          <w:tcPr>
            <w:tcW w:w="10770" w:type="dxa"/>
            <w:gridSpan w:val="2"/>
            <w:shd w:val="clear" w:color="auto" w:fill="auto"/>
            <w:vAlign w:val="center"/>
          </w:tcPr>
          <w:p w14:paraId="73409549" w14:textId="38BD4BF4" w:rsidR="00B7096D" w:rsidRPr="00B7096D" w:rsidRDefault="00D05F86" w:rsidP="00B7096D">
            <w:pPr>
              <w:spacing w:after="0"/>
              <w:rPr>
                <w:rFonts w:cs="Arial"/>
              </w:rPr>
            </w:pPr>
            <w:r>
              <w:rPr>
                <w:rFonts w:cs="Arial"/>
              </w:rPr>
              <w:t xml:space="preserve">Regularly, typically weekly, the report is updated and posted to the </w:t>
            </w:r>
            <w:hyperlink r:id="rId15" w:history="1">
              <w:r w:rsidRPr="00AC0D92">
                <w:rPr>
                  <w:rStyle w:val="Hyperlink"/>
                  <w:rFonts w:cs="Arial"/>
                </w:rPr>
                <w:t>Procure-to-Pay</w:t>
              </w:r>
              <w:r w:rsidRPr="00AC0D92">
                <w:rPr>
                  <w:rStyle w:val="Hyperlink"/>
                  <w:rFonts w:cs="Arial"/>
                </w:rPr>
                <w:t xml:space="preserve"> </w:t>
              </w:r>
              <w:r w:rsidRPr="00AC0D92">
                <w:rPr>
                  <w:rStyle w:val="Hyperlink"/>
                  <w:rFonts w:cs="Arial"/>
                </w:rPr>
                <w:t>SharePoint site</w:t>
              </w:r>
            </w:hyperlink>
            <w:r>
              <w:rPr>
                <w:rFonts w:cs="Arial"/>
              </w:rPr>
              <w:t xml:space="preserve">, as well as sent via email to business offices. </w:t>
            </w:r>
            <w:r w:rsidR="00B7096D" w:rsidRPr="00B7096D">
              <w:t xml:space="preserve"> </w:t>
            </w:r>
          </w:p>
        </w:tc>
      </w:tr>
    </w:tbl>
    <w:p w14:paraId="573C376F" w14:textId="77777777" w:rsidR="00233BF8" w:rsidRPr="00796079" w:rsidRDefault="00233BF8" w:rsidP="00D05F86">
      <w:pPr>
        <w:rPr>
          <w:rFonts w:ascii="Verdana" w:hAnsi="Verdana" w:cs="Arial"/>
        </w:rPr>
      </w:pPr>
    </w:p>
    <w:sectPr w:rsidR="00233BF8" w:rsidRPr="00796079" w:rsidSect="0050766D">
      <w:headerReference w:type="default" r:id="rId16"/>
      <w:footerReference w:type="default" r:id="rId17"/>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94E4" w14:textId="77777777" w:rsidR="00B13E96" w:rsidRDefault="00B13E96" w:rsidP="00654D65">
      <w:pPr>
        <w:spacing w:after="0"/>
      </w:pPr>
      <w:r>
        <w:separator/>
      </w:r>
    </w:p>
  </w:endnote>
  <w:endnote w:type="continuationSeparator" w:id="0">
    <w:p w14:paraId="3BEAAE15" w14:textId="77777777" w:rsidR="00B13E96" w:rsidRDefault="00B13E96"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BC7B" w14:textId="77777777" w:rsidR="009B5858" w:rsidRPr="004B1DDE" w:rsidRDefault="009B5858" w:rsidP="009B5858">
    <w:pPr>
      <w:pStyle w:val="Footer"/>
      <w:jc w:val="center"/>
      <w:rPr>
        <w:rFonts w:cs="Arial"/>
        <w:sz w:val="16"/>
        <w:szCs w:val="16"/>
      </w:rPr>
    </w:pPr>
    <w:r w:rsidRPr="004B1DDE">
      <w:rPr>
        <w:rFonts w:cs="Arial"/>
        <w:sz w:val="16"/>
        <w:szCs w:val="16"/>
      </w:rPr>
      <w:t>© 20</w:t>
    </w:r>
    <w:r>
      <w:rPr>
        <w:rFonts w:cs="Arial"/>
        <w:sz w:val="16"/>
        <w:szCs w:val="16"/>
      </w:rPr>
      <w:t>23</w:t>
    </w:r>
    <w:r w:rsidRPr="004B1DDE">
      <w:rPr>
        <w:rFonts w:cs="Arial"/>
        <w:sz w:val="16"/>
        <w:szCs w:val="16"/>
      </w:rPr>
      <w:t xml:space="preserve"> Purdue University</w:t>
    </w:r>
  </w:p>
  <w:p w14:paraId="11C5B006" w14:textId="77777777" w:rsidR="009B5858" w:rsidRPr="004B1DDE" w:rsidRDefault="009B5858" w:rsidP="009B5858">
    <w:pPr>
      <w:pStyle w:val="Footer"/>
      <w:jc w:val="center"/>
      <w:rPr>
        <w:rFonts w:cs="Arial"/>
        <w:sz w:val="16"/>
        <w:szCs w:val="16"/>
      </w:rPr>
    </w:pPr>
    <w:r w:rsidRPr="004B1DDE">
      <w:rPr>
        <w:rFonts w:cs="Arial"/>
        <w:sz w:val="16"/>
        <w:szCs w:val="16"/>
      </w:rPr>
      <w:t xml:space="preserve">Last Updated </w:t>
    </w:r>
    <w:r>
      <w:rPr>
        <w:rFonts w:cs="Arial"/>
        <w:sz w:val="16"/>
        <w:szCs w:val="16"/>
      </w:rPr>
      <w:t>04/2023</w:t>
    </w:r>
    <w:r w:rsidRPr="004B1DDE">
      <w:rPr>
        <w:rFonts w:cs="Arial"/>
        <w:sz w:val="16"/>
        <w:szCs w:val="16"/>
      </w:rPr>
      <w:t xml:space="preserve"> AB</w:t>
    </w:r>
  </w:p>
  <w:p w14:paraId="6ADA2C5D" w14:textId="2AC8E99D" w:rsidR="00637CFB" w:rsidRPr="005F418F" w:rsidRDefault="00637CFB"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1F71C4">
      <w:rPr>
        <w:rFonts w:cs="Arial"/>
        <w:b/>
        <w:noProof/>
        <w:sz w:val="16"/>
        <w:szCs w:val="16"/>
      </w:rPr>
      <w:t>1</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1F71C4">
      <w:rPr>
        <w:rFonts w:cs="Arial"/>
        <w:b/>
        <w:noProof/>
        <w:sz w:val="16"/>
        <w:szCs w:val="16"/>
      </w:rPr>
      <w:t>1</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D3D1" w14:textId="77777777" w:rsidR="00B13E96" w:rsidRDefault="00B13E96" w:rsidP="00654D65">
      <w:pPr>
        <w:spacing w:after="0"/>
      </w:pPr>
      <w:r>
        <w:separator/>
      </w:r>
    </w:p>
  </w:footnote>
  <w:footnote w:type="continuationSeparator" w:id="0">
    <w:p w14:paraId="42A6E696" w14:textId="77777777" w:rsidR="00B13E96" w:rsidRDefault="00B13E96"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58"/>
      <w:gridCol w:w="3842"/>
    </w:tblGrid>
    <w:tr w:rsidR="00637CFB" w:rsidRPr="00D80104" w14:paraId="57DD56D6" w14:textId="77777777" w:rsidTr="00233BF8">
      <w:trPr>
        <w:trHeight w:val="659"/>
      </w:trPr>
      <w:tc>
        <w:tcPr>
          <w:tcW w:w="3510" w:type="dxa"/>
          <w:shd w:val="clear" w:color="auto" w:fill="auto"/>
        </w:tcPr>
        <w:p w14:paraId="5554C6EA" w14:textId="5C925371" w:rsidR="00637CFB" w:rsidRPr="00D80104" w:rsidRDefault="00DF1A13" w:rsidP="0071497E">
          <w:pPr>
            <w:pStyle w:val="Header"/>
          </w:pPr>
          <w:r>
            <w:rPr>
              <w:noProof/>
            </w:rPr>
            <w:drawing>
              <wp:inline distT="0" distB="0" distL="0" distR="0" wp14:anchorId="7497F07D" wp14:editId="03F1CE78">
                <wp:extent cx="4281382" cy="45719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81382" cy="457199"/>
                        </a:xfrm>
                        <a:prstGeom prst="rect">
                          <a:avLst/>
                        </a:prstGeom>
                      </pic:spPr>
                    </pic:pic>
                  </a:graphicData>
                </a:graphic>
              </wp:inline>
            </w:drawing>
          </w:r>
        </w:p>
      </w:tc>
      <w:tc>
        <w:tcPr>
          <w:tcW w:w="10833" w:type="dxa"/>
          <w:shd w:val="clear" w:color="auto" w:fill="auto"/>
        </w:tcPr>
        <w:p w14:paraId="305FE36A" w14:textId="77777777" w:rsidR="00637CFB" w:rsidRPr="00D80104" w:rsidRDefault="00637CFB" w:rsidP="00EF7CC0">
          <w:pPr>
            <w:pStyle w:val="Heading1"/>
            <w:rPr>
              <w:bCs/>
            </w:rPr>
          </w:pPr>
          <w:r>
            <w:t>Supplemental</w:t>
          </w:r>
          <w:r w:rsidRPr="00D80104">
            <w:t xml:space="preserve"> </w:t>
          </w:r>
          <w:r>
            <w:t>Guide</w:t>
          </w:r>
        </w:p>
        <w:p w14:paraId="69A41C44" w14:textId="77777777" w:rsidR="00637CFB" w:rsidRPr="00D80104" w:rsidRDefault="00637CFB" w:rsidP="003D5FC5">
          <w:pPr>
            <w:pStyle w:val="Title"/>
            <w:rPr>
              <w:b w:val="0"/>
              <w:bCs/>
              <w:i/>
              <w:iCs/>
              <w:color w:val="B1946C"/>
            </w:rPr>
          </w:pPr>
          <w:r>
            <w:t>GRIR Report – Management and Oversight</w:t>
          </w:r>
          <w:r>
            <w:rPr>
              <w:sz w:val="28"/>
              <w:szCs w:val="28"/>
            </w:rPr>
            <w:t xml:space="preserve"> </w:t>
          </w:r>
          <w:r>
            <w:t xml:space="preserve"> </w:t>
          </w:r>
        </w:p>
      </w:tc>
    </w:tr>
  </w:tbl>
  <w:p w14:paraId="61592C6D" w14:textId="77777777" w:rsidR="00637CFB" w:rsidRPr="002A398A" w:rsidRDefault="00637CFB" w:rsidP="00EF7CC0">
    <w:r>
      <w:rPr>
        <w:noProof/>
      </w:rPr>
      <mc:AlternateContent>
        <mc:Choice Requires="wps">
          <w:drawing>
            <wp:anchor distT="0" distB="0" distL="114300" distR="114300" simplePos="0" relativeHeight="251658240" behindDoc="0" locked="0" layoutInCell="1" allowOverlap="1" wp14:anchorId="0C37FDC3" wp14:editId="291736BC">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B0BAC"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D19"/>
    <w:multiLevelType w:val="hybridMultilevel"/>
    <w:tmpl w:val="1A50D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85C43"/>
    <w:multiLevelType w:val="hybridMultilevel"/>
    <w:tmpl w:val="82B00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E417C"/>
    <w:multiLevelType w:val="hybridMultilevel"/>
    <w:tmpl w:val="C7A8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84A3F"/>
    <w:multiLevelType w:val="hybridMultilevel"/>
    <w:tmpl w:val="2C10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695B67"/>
    <w:multiLevelType w:val="hybridMultilevel"/>
    <w:tmpl w:val="17A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769FB"/>
    <w:multiLevelType w:val="hybridMultilevel"/>
    <w:tmpl w:val="4588C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969B3"/>
    <w:multiLevelType w:val="hybridMultilevel"/>
    <w:tmpl w:val="9E42F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C91658"/>
    <w:multiLevelType w:val="hybridMultilevel"/>
    <w:tmpl w:val="D0C00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47628"/>
    <w:multiLevelType w:val="hybridMultilevel"/>
    <w:tmpl w:val="6E841E4C"/>
    <w:lvl w:ilvl="0" w:tplc="04090015">
      <w:start w:val="1"/>
      <w:numFmt w:val="upperLetter"/>
      <w:lvlText w:val="%1."/>
      <w:lvlJc w:val="left"/>
      <w:pPr>
        <w:tabs>
          <w:tab w:val="num" w:pos="360"/>
        </w:tabs>
        <w:ind w:left="360" w:hanging="360"/>
      </w:pPr>
    </w:lvl>
    <w:lvl w:ilvl="1" w:tplc="04090015">
      <w:start w:val="1"/>
      <w:numFmt w:val="upperLetter"/>
      <w:lvlText w:val="%2."/>
      <w:lvlJc w:val="left"/>
      <w:pPr>
        <w:tabs>
          <w:tab w:val="num" w:pos="1080"/>
        </w:tabs>
        <w:ind w:left="1080" w:hanging="360"/>
      </w:pPr>
      <w:rPr>
        <w:rFonts w:hint="default"/>
      </w:rPr>
    </w:lvl>
    <w:lvl w:ilvl="2" w:tplc="BB6E0882" w:tentative="1">
      <w:start w:val="1"/>
      <w:numFmt w:val="upperLetter"/>
      <w:lvlText w:val="(%3)"/>
      <w:lvlJc w:val="left"/>
      <w:pPr>
        <w:tabs>
          <w:tab w:val="num" w:pos="1800"/>
        </w:tabs>
        <w:ind w:left="1800" w:hanging="360"/>
      </w:pPr>
    </w:lvl>
    <w:lvl w:ilvl="3" w:tplc="D33EA6AA" w:tentative="1">
      <w:start w:val="1"/>
      <w:numFmt w:val="upperLetter"/>
      <w:lvlText w:val="(%4)"/>
      <w:lvlJc w:val="left"/>
      <w:pPr>
        <w:tabs>
          <w:tab w:val="num" w:pos="2520"/>
        </w:tabs>
        <w:ind w:left="2520" w:hanging="360"/>
      </w:pPr>
    </w:lvl>
    <w:lvl w:ilvl="4" w:tplc="3D4864CE" w:tentative="1">
      <w:start w:val="1"/>
      <w:numFmt w:val="upperLetter"/>
      <w:lvlText w:val="(%5)"/>
      <w:lvlJc w:val="left"/>
      <w:pPr>
        <w:tabs>
          <w:tab w:val="num" w:pos="3240"/>
        </w:tabs>
        <w:ind w:left="3240" w:hanging="360"/>
      </w:pPr>
    </w:lvl>
    <w:lvl w:ilvl="5" w:tplc="CA3AC6D2" w:tentative="1">
      <w:start w:val="1"/>
      <w:numFmt w:val="upperLetter"/>
      <w:lvlText w:val="(%6)"/>
      <w:lvlJc w:val="left"/>
      <w:pPr>
        <w:tabs>
          <w:tab w:val="num" w:pos="3960"/>
        </w:tabs>
        <w:ind w:left="3960" w:hanging="360"/>
      </w:pPr>
    </w:lvl>
    <w:lvl w:ilvl="6" w:tplc="03507954" w:tentative="1">
      <w:start w:val="1"/>
      <w:numFmt w:val="upperLetter"/>
      <w:lvlText w:val="(%7)"/>
      <w:lvlJc w:val="left"/>
      <w:pPr>
        <w:tabs>
          <w:tab w:val="num" w:pos="4680"/>
        </w:tabs>
        <w:ind w:left="4680" w:hanging="360"/>
      </w:pPr>
    </w:lvl>
    <w:lvl w:ilvl="7" w:tplc="2E223190" w:tentative="1">
      <w:start w:val="1"/>
      <w:numFmt w:val="upperLetter"/>
      <w:lvlText w:val="(%8)"/>
      <w:lvlJc w:val="left"/>
      <w:pPr>
        <w:tabs>
          <w:tab w:val="num" w:pos="5400"/>
        </w:tabs>
        <w:ind w:left="5400" w:hanging="360"/>
      </w:pPr>
    </w:lvl>
    <w:lvl w:ilvl="8" w:tplc="B964A6D6" w:tentative="1">
      <w:start w:val="1"/>
      <w:numFmt w:val="upperLetter"/>
      <w:lvlText w:val="(%9)"/>
      <w:lvlJc w:val="left"/>
      <w:pPr>
        <w:tabs>
          <w:tab w:val="num" w:pos="6120"/>
        </w:tabs>
        <w:ind w:left="6120" w:hanging="360"/>
      </w:pPr>
    </w:lvl>
  </w:abstractNum>
  <w:abstractNum w:abstractNumId="12" w15:restartNumberingAfterBreak="0">
    <w:nsid w:val="42D0664A"/>
    <w:multiLevelType w:val="hybridMultilevel"/>
    <w:tmpl w:val="D2D25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C5C35"/>
    <w:multiLevelType w:val="hybridMultilevel"/>
    <w:tmpl w:val="54744B96"/>
    <w:lvl w:ilvl="0" w:tplc="290057B0">
      <w:start w:val="1"/>
      <w:numFmt w:val="upperLetter"/>
      <w:lvlText w:val="%1."/>
      <w:lvlJc w:val="left"/>
      <w:pPr>
        <w:ind w:left="360" w:hanging="360"/>
      </w:pPr>
      <w:rPr>
        <w:rFonts w:eastAsia="+mn-ea"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E6532B"/>
    <w:multiLevelType w:val="hybridMultilevel"/>
    <w:tmpl w:val="BD1ED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5E0D55"/>
    <w:multiLevelType w:val="hybridMultilevel"/>
    <w:tmpl w:val="BEB48BCA"/>
    <w:lvl w:ilvl="0" w:tplc="538A6A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B0E27"/>
    <w:multiLevelType w:val="hybridMultilevel"/>
    <w:tmpl w:val="96CC7710"/>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8" w15:restartNumberingAfterBreak="0">
    <w:nsid w:val="62A2202D"/>
    <w:multiLevelType w:val="hybridMultilevel"/>
    <w:tmpl w:val="19AAD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F47FAB"/>
    <w:multiLevelType w:val="hybridMultilevel"/>
    <w:tmpl w:val="1FA09EC0"/>
    <w:lvl w:ilvl="0" w:tplc="04090015">
      <w:start w:val="1"/>
      <w:numFmt w:val="upperLetter"/>
      <w:lvlText w:val="%1."/>
      <w:lvlJc w:val="left"/>
      <w:pPr>
        <w:ind w:left="360" w:hanging="360"/>
      </w:pPr>
      <w:rPr>
        <w:rFonts w:hint="default"/>
        <w:color w:val="000000"/>
        <w:sz w:val="20"/>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492971"/>
    <w:multiLevelType w:val="hybridMultilevel"/>
    <w:tmpl w:val="BEB48BCA"/>
    <w:lvl w:ilvl="0" w:tplc="538A6A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771CE"/>
    <w:multiLevelType w:val="hybridMultilevel"/>
    <w:tmpl w:val="ADA872A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1F04359"/>
    <w:multiLevelType w:val="hybridMultilevel"/>
    <w:tmpl w:val="CFA8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31EB7"/>
    <w:multiLevelType w:val="hybridMultilevel"/>
    <w:tmpl w:val="BEA2FB16"/>
    <w:lvl w:ilvl="0" w:tplc="538A6A6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6B29CD"/>
    <w:multiLevelType w:val="hybridMultilevel"/>
    <w:tmpl w:val="8B8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462284">
    <w:abstractNumId w:val="13"/>
  </w:num>
  <w:num w:numId="2" w16cid:durableId="1666856538">
    <w:abstractNumId w:val="5"/>
  </w:num>
  <w:num w:numId="3" w16cid:durableId="1351448279">
    <w:abstractNumId w:val="10"/>
  </w:num>
  <w:num w:numId="4" w16cid:durableId="921372368">
    <w:abstractNumId w:val="6"/>
  </w:num>
  <w:num w:numId="5" w16cid:durableId="1842353292">
    <w:abstractNumId w:val="22"/>
  </w:num>
  <w:num w:numId="6" w16cid:durableId="1593858673">
    <w:abstractNumId w:val="11"/>
  </w:num>
  <w:num w:numId="7" w16cid:durableId="1369186511">
    <w:abstractNumId w:val="14"/>
  </w:num>
  <w:num w:numId="8" w16cid:durableId="268972564">
    <w:abstractNumId w:val="18"/>
  </w:num>
  <w:num w:numId="9" w16cid:durableId="84882816">
    <w:abstractNumId w:val="19"/>
  </w:num>
  <w:num w:numId="10" w16cid:durableId="1665279922">
    <w:abstractNumId w:val="17"/>
  </w:num>
  <w:num w:numId="11" w16cid:durableId="1549612735">
    <w:abstractNumId w:val="20"/>
  </w:num>
  <w:num w:numId="12" w16cid:durableId="1630355022">
    <w:abstractNumId w:val="16"/>
  </w:num>
  <w:num w:numId="13" w16cid:durableId="1042172450">
    <w:abstractNumId w:val="23"/>
  </w:num>
  <w:num w:numId="14" w16cid:durableId="844592330">
    <w:abstractNumId w:val="15"/>
  </w:num>
  <w:num w:numId="15" w16cid:durableId="2010863395">
    <w:abstractNumId w:val="24"/>
  </w:num>
  <w:num w:numId="16" w16cid:durableId="860557730">
    <w:abstractNumId w:val="7"/>
  </w:num>
  <w:num w:numId="17" w16cid:durableId="311905432">
    <w:abstractNumId w:val="9"/>
  </w:num>
  <w:num w:numId="18" w16cid:durableId="1766219124">
    <w:abstractNumId w:val="1"/>
  </w:num>
  <w:num w:numId="19" w16cid:durableId="2095666019">
    <w:abstractNumId w:val="8"/>
  </w:num>
  <w:num w:numId="20" w16cid:durableId="1617178897">
    <w:abstractNumId w:val="3"/>
  </w:num>
  <w:num w:numId="21" w16cid:durableId="2086949318">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780640">
    <w:abstractNumId w:val="0"/>
  </w:num>
  <w:num w:numId="23" w16cid:durableId="296767321">
    <w:abstractNumId w:val="12"/>
  </w:num>
  <w:num w:numId="24" w16cid:durableId="545992131">
    <w:abstractNumId w:val="2"/>
  </w:num>
  <w:num w:numId="25" w16cid:durableId="76580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AB"/>
    <w:rsid w:val="00012E87"/>
    <w:rsid w:val="00016CC6"/>
    <w:rsid w:val="00025876"/>
    <w:rsid w:val="00044910"/>
    <w:rsid w:val="0007250E"/>
    <w:rsid w:val="00090075"/>
    <w:rsid w:val="000A3F3B"/>
    <w:rsid w:val="000B1310"/>
    <w:rsid w:val="000C7041"/>
    <w:rsid w:val="000D1E7F"/>
    <w:rsid w:val="000E7EBD"/>
    <w:rsid w:val="000F3084"/>
    <w:rsid w:val="00124121"/>
    <w:rsid w:val="00126965"/>
    <w:rsid w:val="001432D0"/>
    <w:rsid w:val="00143306"/>
    <w:rsid w:val="00144E33"/>
    <w:rsid w:val="00147F5F"/>
    <w:rsid w:val="00153E2A"/>
    <w:rsid w:val="00157872"/>
    <w:rsid w:val="00162373"/>
    <w:rsid w:val="00180197"/>
    <w:rsid w:val="00194CF7"/>
    <w:rsid w:val="001B04D0"/>
    <w:rsid w:val="001D7827"/>
    <w:rsid w:val="001F4121"/>
    <w:rsid w:val="001F71C4"/>
    <w:rsid w:val="0020089F"/>
    <w:rsid w:val="00215F41"/>
    <w:rsid w:val="00225097"/>
    <w:rsid w:val="00233BF8"/>
    <w:rsid w:val="00234BA3"/>
    <w:rsid w:val="00237E23"/>
    <w:rsid w:val="0024085A"/>
    <w:rsid w:val="00241225"/>
    <w:rsid w:val="00250B2D"/>
    <w:rsid w:val="00250E9C"/>
    <w:rsid w:val="00252DB6"/>
    <w:rsid w:val="0025402C"/>
    <w:rsid w:val="0027010B"/>
    <w:rsid w:val="00283581"/>
    <w:rsid w:val="00293131"/>
    <w:rsid w:val="002A398A"/>
    <w:rsid w:val="002A52E6"/>
    <w:rsid w:val="002C79EB"/>
    <w:rsid w:val="002E2EF4"/>
    <w:rsid w:val="002E46EB"/>
    <w:rsid w:val="002F1E51"/>
    <w:rsid w:val="00335EE4"/>
    <w:rsid w:val="003453FF"/>
    <w:rsid w:val="00351726"/>
    <w:rsid w:val="00370D05"/>
    <w:rsid w:val="00373A2C"/>
    <w:rsid w:val="003A083D"/>
    <w:rsid w:val="003A2A48"/>
    <w:rsid w:val="003C30B6"/>
    <w:rsid w:val="003C4B7C"/>
    <w:rsid w:val="003C6479"/>
    <w:rsid w:val="003D5FC5"/>
    <w:rsid w:val="004006AE"/>
    <w:rsid w:val="00413674"/>
    <w:rsid w:val="004177B6"/>
    <w:rsid w:val="00420F56"/>
    <w:rsid w:val="00435195"/>
    <w:rsid w:val="0043700A"/>
    <w:rsid w:val="0044606D"/>
    <w:rsid w:val="00455992"/>
    <w:rsid w:val="004706AB"/>
    <w:rsid w:val="00480A1B"/>
    <w:rsid w:val="00494673"/>
    <w:rsid w:val="004A069D"/>
    <w:rsid w:val="004B10DA"/>
    <w:rsid w:val="004B408E"/>
    <w:rsid w:val="004C2B94"/>
    <w:rsid w:val="004D56E9"/>
    <w:rsid w:val="004F2DB7"/>
    <w:rsid w:val="0050766D"/>
    <w:rsid w:val="005100AC"/>
    <w:rsid w:val="005656FD"/>
    <w:rsid w:val="00583DE9"/>
    <w:rsid w:val="005864F4"/>
    <w:rsid w:val="005C3709"/>
    <w:rsid w:val="005C3E28"/>
    <w:rsid w:val="005C5C86"/>
    <w:rsid w:val="005D301D"/>
    <w:rsid w:val="005D4CEC"/>
    <w:rsid w:val="005F1C7C"/>
    <w:rsid w:val="005F418F"/>
    <w:rsid w:val="006102D0"/>
    <w:rsid w:val="00611712"/>
    <w:rsid w:val="00622D87"/>
    <w:rsid w:val="00637CFB"/>
    <w:rsid w:val="006456FA"/>
    <w:rsid w:val="00654D65"/>
    <w:rsid w:val="006643E6"/>
    <w:rsid w:val="00670AAD"/>
    <w:rsid w:val="00673625"/>
    <w:rsid w:val="006844F7"/>
    <w:rsid w:val="0069607F"/>
    <w:rsid w:val="006D13BA"/>
    <w:rsid w:val="006E476D"/>
    <w:rsid w:val="006E60AF"/>
    <w:rsid w:val="006F0880"/>
    <w:rsid w:val="00705149"/>
    <w:rsid w:val="00713948"/>
    <w:rsid w:val="0071497E"/>
    <w:rsid w:val="007331E4"/>
    <w:rsid w:val="0073327C"/>
    <w:rsid w:val="007351B6"/>
    <w:rsid w:val="00741E37"/>
    <w:rsid w:val="00746E7E"/>
    <w:rsid w:val="007617D1"/>
    <w:rsid w:val="00795D27"/>
    <w:rsid w:val="00796079"/>
    <w:rsid w:val="007B0E7A"/>
    <w:rsid w:val="007D30FB"/>
    <w:rsid w:val="007D3FBF"/>
    <w:rsid w:val="007F2CAC"/>
    <w:rsid w:val="00821480"/>
    <w:rsid w:val="008473AC"/>
    <w:rsid w:val="00847F5C"/>
    <w:rsid w:val="00860190"/>
    <w:rsid w:val="00865CD6"/>
    <w:rsid w:val="00866C28"/>
    <w:rsid w:val="00891AFE"/>
    <w:rsid w:val="008923D7"/>
    <w:rsid w:val="008B61C3"/>
    <w:rsid w:val="008C16E6"/>
    <w:rsid w:val="008E1D9A"/>
    <w:rsid w:val="00902DC1"/>
    <w:rsid w:val="009215DD"/>
    <w:rsid w:val="0092291A"/>
    <w:rsid w:val="00926FA5"/>
    <w:rsid w:val="009330C7"/>
    <w:rsid w:val="0093574B"/>
    <w:rsid w:val="009357FE"/>
    <w:rsid w:val="009371C0"/>
    <w:rsid w:val="00944F64"/>
    <w:rsid w:val="00950A16"/>
    <w:rsid w:val="00950EBC"/>
    <w:rsid w:val="009524B3"/>
    <w:rsid w:val="00956210"/>
    <w:rsid w:val="00956563"/>
    <w:rsid w:val="00956793"/>
    <w:rsid w:val="00965170"/>
    <w:rsid w:val="009B5858"/>
    <w:rsid w:val="009C43D1"/>
    <w:rsid w:val="009C4C9E"/>
    <w:rsid w:val="009D4A9D"/>
    <w:rsid w:val="009D7DE5"/>
    <w:rsid w:val="009E6409"/>
    <w:rsid w:val="009E6502"/>
    <w:rsid w:val="009F672C"/>
    <w:rsid w:val="00A00199"/>
    <w:rsid w:val="00A06257"/>
    <w:rsid w:val="00A15876"/>
    <w:rsid w:val="00A1670D"/>
    <w:rsid w:val="00A36FEB"/>
    <w:rsid w:val="00A41BA9"/>
    <w:rsid w:val="00A41DD4"/>
    <w:rsid w:val="00A47925"/>
    <w:rsid w:val="00A5051B"/>
    <w:rsid w:val="00A57BC5"/>
    <w:rsid w:val="00A60886"/>
    <w:rsid w:val="00A65B37"/>
    <w:rsid w:val="00AA5B3E"/>
    <w:rsid w:val="00AA717C"/>
    <w:rsid w:val="00AC0D92"/>
    <w:rsid w:val="00AE7834"/>
    <w:rsid w:val="00AF3B7E"/>
    <w:rsid w:val="00B03079"/>
    <w:rsid w:val="00B07441"/>
    <w:rsid w:val="00B10DD6"/>
    <w:rsid w:val="00B13E96"/>
    <w:rsid w:val="00B402E2"/>
    <w:rsid w:val="00B44456"/>
    <w:rsid w:val="00B63AF0"/>
    <w:rsid w:val="00B63E71"/>
    <w:rsid w:val="00B7096D"/>
    <w:rsid w:val="00B80426"/>
    <w:rsid w:val="00B807CA"/>
    <w:rsid w:val="00B94FE1"/>
    <w:rsid w:val="00B96AD9"/>
    <w:rsid w:val="00BB042E"/>
    <w:rsid w:val="00BE4023"/>
    <w:rsid w:val="00BE62E8"/>
    <w:rsid w:val="00BF45F0"/>
    <w:rsid w:val="00BF55F7"/>
    <w:rsid w:val="00C016C5"/>
    <w:rsid w:val="00C2024F"/>
    <w:rsid w:val="00C21B4B"/>
    <w:rsid w:val="00C22128"/>
    <w:rsid w:val="00C41818"/>
    <w:rsid w:val="00C81BEE"/>
    <w:rsid w:val="00C8629B"/>
    <w:rsid w:val="00CB4AAD"/>
    <w:rsid w:val="00CB6D75"/>
    <w:rsid w:val="00CC2E1C"/>
    <w:rsid w:val="00CE193B"/>
    <w:rsid w:val="00CE28E4"/>
    <w:rsid w:val="00CE4ECB"/>
    <w:rsid w:val="00D05F86"/>
    <w:rsid w:val="00D151F3"/>
    <w:rsid w:val="00D25974"/>
    <w:rsid w:val="00D30560"/>
    <w:rsid w:val="00D34F42"/>
    <w:rsid w:val="00D4183D"/>
    <w:rsid w:val="00D50069"/>
    <w:rsid w:val="00D50223"/>
    <w:rsid w:val="00D56597"/>
    <w:rsid w:val="00D66972"/>
    <w:rsid w:val="00D700A3"/>
    <w:rsid w:val="00D80104"/>
    <w:rsid w:val="00D923B5"/>
    <w:rsid w:val="00D95CC3"/>
    <w:rsid w:val="00D96778"/>
    <w:rsid w:val="00DC5B64"/>
    <w:rsid w:val="00DD159C"/>
    <w:rsid w:val="00DE6E60"/>
    <w:rsid w:val="00DF1A13"/>
    <w:rsid w:val="00DF3E4C"/>
    <w:rsid w:val="00E16FB8"/>
    <w:rsid w:val="00E5092E"/>
    <w:rsid w:val="00E7436B"/>
    <w:rsid w:val="00E76CCE"/>
    <w:rsid w:val="00E80643"/>
    <w:rsid w:val="00EA03FD"/>
    <w:rsid w:val="00EB3A21"/>
    <w:rsid w:val="00EB54DE"/>
    <w:rsid w:val="00EC23C2"/>
    <w:rsid w:val="00EE09E7"/>
    <w:rsid w:val="00EF7CC0"/>
    <w:rsid w:val="00F05C2E"/>
    <w:rsid w:val="00F102DB"/>
    <w:rsid w:val="00F255CE"/>
    <w:rsid w:val="00F34206"/>
    <w:rsid w:val="00F347CD"/>
    <w:rsid w:val="00F844E9"/>
    <w:rsid w:val="00FB0C47"/>
    <w:rsid w:val="00FB1CEF"/>
    <w:rsid w:val="00FB3BE3"/>
    <w:rsid w:val="00FB440A"/>
    <w:rsid w:val="00FB4FD7"/>
    <w:rsid w:val="00FB67D3"/>
    <w:rsid w:val="00FC473A"/>
    <w:rsid w:val="00FD1266"/>
    <w:rsid w:val="00FE60E7"/>
    <w:rsid w:val="00FF1CAF"/>
    <w:rsid w:val="00FF50E7"/>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EF935"/>
  <w15:docId w15:val="{C3D9668A-6D76-4E91-B379-54353B54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paragraph" w:styleId="NormalWeb">
    <w:name w:val="Normal (Web)"/>
    <w:basedOn w:val="Normal"/>
    <w:uiPriority w:val="99"/>
    <w:unhideWhenUsed/>
    <w:rsid w:val="00673625"/>
    <w:pPr>
      <w:spacing w:before="100" w:beforeAutospacing="1"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helpdesk@purdu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urdue.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urdue0.sharepoint.com/sites/Procure/training/Shared%20Documents/Forms/AllItems.aspx?FilterField1=Focus&amp;FilterValue1=Procure%2Dto%2DPay&amp;FilterType1=LookupMulti&amp;viewid=7f973315%2D2e59%2D43b4%2D8f96%2Dce1e526b19e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helpdesk@purdu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5D71E61F78F4089E1351EF0B3A862" ma:contentTypeVersion="14" ma:contentTypeDescription="Create a new document." ma:contentTypeScope="" ma:versionID="b0b748344bf788fc5e9eaec7bcd5b28a">
  <xsd:schema xmlns:xsd="http://www.w3.org/2001/XMLSchema" xmlns:xs="http://www.w3.org/2001/XMLSchema" xmlns:p="http://schemas.microsoft.com/office/2006/metadata/properties" xmlns:ns2="6a3fe875-a8e9-45dc-94b5-ed3dadebb3c4" xmlns:ns3="4cb2af77-3bb3-4a4a-9193-528cfe74049e" targetNamespace="http://schemas.microsoft.com/office/2006/metadata/properties" ma:root="true" ma:fieldsID="280cdc6297087b4d41e3393956fed464" ns2:_="" ns3:_="">
    <xsd:import namespace="6a3fe875-a8e9-45dc-94b5-ed3dadebb3c4"/>
    <xsd:import namespace="4cb2af77-3bb3-4a4a-9193-528cfe74049e"/>
    <xsd:element name="properties">
      <xsd:complexType>
        <xsd:sequence>
          <xsd:element name="documentManagement">
            <xsd:complexType>
              <xsd:all>
                <xsd:element ref="ns2:Focus" minOccurs="0"/>
                <xsd:element ref="ns2:Role" minOccurs="0"/>
                <xsd:element ref="ns2:Document_x0020_Type" minOccurs="0"/>
                <xsd:element ref="ns2:Course" minOccurs="0"/>
                <xsd:element ref="ns2:Description0" minOccurs="0"/>
                <xsd:element ref="ns2:Duration_x0020__x0028_Video_x0029_"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e875-a8e9-45dc-94b5-ed3dadebb3c4" elementFormDefault="qualified">
    <xsd:import namespace="http://schemas.microsoft.com/office/2006/documentManagement/types"/>
    <xsd:import namespace="http://schemas.microsoft.com/office/infopath/2007/PartnerControls"/>
    <xsd:element name="Focus" ma:index="4" nillable="true" ma:displayName="Focus" ma:list="{5df2f261-cc9f-4efc-9393-d729c8c48410}" ma:internalName="Focu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 ma:index="5" nillable="true" ma:displayName="Role" ma:default="Requester" ma:internalName="Role" ma:readOnly="false">
      <xsd:complexType>
        <xsd:complexContent>
          <xsd:extension base="dms:MultiChoice">
            <xsd:sequence>
              <xsd:element name="Value" maxOccurs="unbounded" minOccurs="0" nillable="true">
                <xsd:simpleType>
                  <xsd:restriction base="dms:Choice">
                    <xsd:enumeration value="Requester"/>
                    <xsd:enumeration value="Receiver"/>
                    <xsd:enumeration value="Fiscal Approver"/>
                    <xsd:enumeration value="Invoice Reconciler"/>
                    <xsd:enumeration value="Traveler"/>
                    <xsd:enumeration value="Travel Delegate"/>
                  </xsd:restriction>
                </xsd:simpleType>
              </xsd:element>
            </xsd:sequence>
          </xsd:extension>
        </xsd:complexContent>
      </xsd:complexType>
    </xsd:element>
    <xsd:element name="Document_x0020_Type" ma:index="6" nillable="true" ma:displayName="Document Type" ma:default="QRG" ma:format="Dropdown" ma:internalName="Document_x0020_Type" ma:readOnly="false">
      <xsd:simpleType>
        <xsd:restriction base="dms:Choice">
          <xsd:enumeration value="QRG"/>
          <xsd:enumeration value="Business Process"/>
          <xsd:enumeration value="PPT"/>
          <xsd:enumeration value="Supplement"/>
          <xsd:enumeration value="Manual"/>
          <xsd:enumeration value="Activity Guide"/>
          <xsd:enumeration value="WIV"/>
        </xsd:restriction>
      </xsd:simpleType>
    </xsd:element>
    <xsd:element name="Course" ma:index="7" nillable="true" ma:displayName="Course" ma:list="{45c0671b-8aa2-4b51-8ede-703c8175a397}"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8" nillable="true" ma:displayName="Description" ma:internalName="Description0" ma:readOnly="false">
      <xsd:simpleType>
        <xsd:restriction base="dms:Note">
          <xsd:maxLength value="255"/>
        </xsd:restriction>
      </xsd:simpleType>
    </xsd:element>
    <xsd:element name="Duration_x0020__x0028_Video_x0029_" ma:index="9" nillable="true" ma:displayName="Duration (Video)" ma:internalName="Duration_x0020__x0028_Video_x0029_"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b2af77-3bb3-4a4a-9193-528cfe7404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0 xmlns="6a3fe875-a8e9-45dc-94b5-ed3dadebb3c4">This document provides the management and oversight for the Goods Receipt Invoice Receipt, or GRIR report. The report should be reviewed regularly by each area for needed action on line items. </Description0>
    <Focus xmlns="6a3fe875-a8e9-45dc-94b5-ed3dadebb3c4">
      <Value>4</Value>
    </Focus>
    <Document_x0020_Type xmlns="6a3fe875-a8e9-45dc-94b5-ed3dadebb3c4">Supplement</Document_x0020_Type>
    <Course xmlns="6a3fe875-a8e9-45dc-94b5-ed3dadebb3c4" xsi:nil="true"/>
    <Role xmlns="6a3fe875-a8e9-45dc-94b5-ed3dadebb3c4">
      <Value>Fiscal Approver</Value>
      <Value>Invoice Reconciler</Value>
    </Role>
    <Duration_x0020__x0028_Video_x0029_ xmlns="6a3fe875-a8e9-45dc-94b5-ed3dadebb3c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88B6C7F-2CA8-4995-A8EE-D8252802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e875-a8e9-45dc-94b5-ed3dadebb3c4"/>
    <ds:schemaRef ds:uri="4cb2af77-3bb3-4a4a-9193-528cfe740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3.xml><?xml version="1.0" encoding="utf-8"?>
<ds:datastoreItem xmlns:ds="http://schemas.openxmlformats.org/officeDocument/2006/customXml" ds:itemID="{E008689E-DF08-4F86-82CF-DE394F1FF2BD}">
  <ds:schemaRefs>
    <ds:schemaRef ds:uri="http://schemas.openxmlformats.org/officeDocument/2006/bibliography"/>
  </ds:schemaRefs>
</ds:datastoreItem>
</file>

<file path=customXml/itemProps4.xml><?xml version="1.0" encoding="utf-8"?>
<ds:datastoreItem xmlns:ds="http://schemas.openxmlformats.org/officeDocument/2006/customXml" ds:itemID="{9859EA30-835A-4B51-AAA9-0C45AAA399BA}">
  <ds:schemaRefs>
    <ds:schemaRef ds:uri="http://schemas.microsoft.com/office/2006/metadata/properties"/>
    <ds:schemaRef ds:uri="http://schemas.microsoft.com/office/infopath/2007/PartnerControls"/>
    <ds:schemaRef ds:uri="6a3fe875-a8e9-45dc-94b5-ed3dadebb3c4"/>
  </ds:schemaRefs>
</ds:datastoreItem>
</file>

<file path=customXml/itemProps5.xml><?xml version="1.0" encoding="utf-8"?>
<ds:datastoreItem xmlns:ds="http://schemas.openxmlformats.org/officeDocument/2006/customXml" ds:itemID="{1870C251-11BF-4C85-B480-1CA13DAFFB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2651</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GRIR Report - Management and Oversight</dc:title>
  <dc:creator>Weatherford, Tiffany LB</dc:creator>
  <cp:lastModifiedBy>Blissitt, Ann Marie</cp:lastModifiedBy>
  <cp:revision>11</cp:revision>
  <cp:lastPrinted>2013-02-01T19:51:00Z</cp:lastPrinted>
  <dcterms:created xsi:type="dcterms:W3CDTF">2020-06-10T15:16:00Z</dcterms:created>
  <dcterms:modified xsi:type="dcterms:W3CDTF">2023-04-13T19:46:00Z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0x0101006505D71E61F78F4089E1351EF0B3A862</vt:lpwstr>
  </property>
  <property fmtid="{D5CDD505-2E9C-101B-9397-08002B2CF9AE}" pid="6" name="Order">
    <vt:r8>6600</vt:r8>
  </property>
  <property fmtid="{D5CDD505-2E9C-101B-9397-08002B2CF9AE}" pid="7" name="_ExtendedDescription">
    <vt:lpwstr>This document provides the management and oversight for the Goods Receipt Invoice Receipt, or GRIR report. The report should be reviewed regularly by each area for needed action on line items. </vt:lpwstr>
  </property>
</Properties>
</file>