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305E5" w14:textId="77777777" w:rsidR="00250A01" w:rsidRDefault="00250A01" w:rsidP="00250A0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Receive a PO in Ariba Business Process</w:t>
      </w:r>
    </w:p>
    <w:p w14:paraId="61C61175" w14:textId="1E52D0A7" w:rsidR="00250A01" w:rsidRDefault="00250A01" w:rsidP="00250A0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Last Updated</w:t>
      </w:r>
      <w:r w:rsidRPr="00250A01">
        <w:rPr>
          <w:rFonts w:ascii="Arial" w:hAnsi="Arial" w:cs="Arial"/>
          <w:sz w:val="24"/>
          <w:szCs w:val="24"/>
        </w:rPr>
        <w:t xml:space="preserve">: </w:t>
      </w:r>
      <w:r w:rsidR="00442861">
        <w:rPr>
          <w:rFonts w:ascii="Arial" w:hAnsi="Arial" w:cs="Arial"/>
          <w:sz w:val="24"/>
          <w:szCs w:val="24"/>
        </w:rPr>
        <w:t>02</w:t>
      </w:r>
      <w:r w:rsidRPr="00250A01">
        <w:rPr>
          <w:rFonts w:ascii="Arial" w:hAnsi="Arial" w:cs="Arial"/>
          <w:sz w:val="24"/>
          <w:szCs w:val="24"/>
        </w:rPr>
        <w:t>/</w:t>
      </w:r>
      <w:r w:rsidR="00442861">
        <w:rPr>
          <w:rFonts w:ascii="Arial" w:hAnsi="Arial" w:cs="Arial"/>
          <w:sz w:val="24"/>
          <w:szCs w:val="24"/>
        </w:rPr>
        <w:t>12</w:t>
      </w:r>
      <w:r w:rsidRPr="00250A01">
        <w:rPr>
          <w:rFonts w:ascii="Arial" w:hAnsi="Arial" w:cs="Arial"/>
          <w:sz w:val="24"/>
          <w:szCs w:val="24"/>
        </w:rPr>
        <w:t>/20</w:t>
      </w:r>
      <w:r w:rsidR="00442861">
        <w:rPr>
          <w:rFonts w:ascii="Arial" w:hAnsi="Arial" w:cs="Arial"/>
          <w:sz w:val="24"/>
          <w:szCs w:val="24"/>
        </w:rPr>
        <w:t>21</w:t>
      </w:r>
    </w:p>
    <w:p w14:paraId="0698ABAB" w14:textId="77777777" w:rsidR="00250A01" w:rsidRPr="009A2C32" w:rsidRDefault="00B65DA0" w:rsidP="00250A01">
      <w:pPr>
        <w:spacing w:line="240" w:lineRule="auto"/>
        <w:rPr>
          <w:rFonts w:ascii="Arial" w:hAnsi="Arial" w:cs="Arial"/>
          <w:sz w:val="20"/>
          <w:szCs w:val="20"/>
        </w:rPr>
      </w:pPr>
      <w:r w:rsidRPr="006C19DE">
        <w:rPr>
          <w:rFonts w:ascii="Arial" w:hAnsi="Arial" w:cs="Arial"/>
          <w:b/>
          <w:sz w:val="24"/>
          <w:szCs w:val="24"/>
        </w:rPr>
        <w:t>Process:</w:t>
      </w:r>
      <w:r w:rsidRPr="006C19DE">
        <w:rPr>
          <w:rFonts w:ascii="Arial" w:hAnsi="Arial" w:cs="Arial"/>
          <w:sz w:val="24"/>
          <w:szCs w:val="24"/>
        </w:rPr>
        <w:t xml:space="preserve"> </w:t>
      </w:r>
      <w:r w:rsidR="00250A01" w:rsidRPr="00250A01">
        <w:rPr>
          <w:rFonts w:ascii="Arial" w:hAnsi="Arial" w:cs="Arial"/>
          <w:sz w:val="24"/>
          <w:szCs w:val="20"/>
        </w:rPr>
        <w:t xml:space="preserve">Use this process receive purchase orders (PO’s) in Ariba.  </w:t>
      </w:r>
    </w:p>
    <w:p w14:paraId="29FE83C2" w14:textId="67F7ECB8" w:rsidR="003056F7" w:rsidRPr="006C19DE" w:rsidRDefault="00025B6E" w:rsidP="00B807CA">
      <w:pPr>
        <w:rPr>
          <w:rFonts w:ascii="Arial" w:hAnsi="Arial" w:cs="Arial"/>
          <w:sz w:val="24"/>
          <w:szCs w:val="24"/>
        </w:rPr>
      </w:pPr>
      <w:r w:rsidRPr="006C19DE">
        <w:rPr>
          <w:rFonts w:ascii="Arial" w:hAnsi="Arial" w:cs="Arial"/>
          <w:b/>
          <w:sz w:val="24"/>
          <w:szCs w:val="24"/>
        </w:rPr>
        <w:t xml:space="preserve">Quick Reference Guides: </w:t>
      </w:r>
      <w:hyperlink r:id="rId12" w:history="1">
        <w:r w:rsidR="002D3707" w:rsidRPr="0046777E">
          <w:rPr>
            <w:rStyle w:val="Hyperlink"/>
            <w:rFonts w:ascii="Arial" w:hAnsi="Arial" w:cs="Arial"/>
            <w:sz w:val="24"/>
            <w:szCs w:val="24"/>
          </w:rPr>
          <w:t>Receiving in Ariba QR</w:t>
        </w:r>
        <w:r w:rsidR="0046777E">
          <w:rPr>
            <w:rStyle w:val="Hyperlink"/>
            <w:rFonts w:ascii="Arial" w:hAnsi="Arial" w:cs="Arial"/>
            <w:sz w:val="24"/>
            <w:szCs w:val="24"/>
          </w:rPr>
          <w:t>G</w:t>
        </w:r>
      </w:hyperlink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37"/>
        <w:gridCol w:w="1960"/>
        <w:gridCol w:w="1230"/>
        <w:gridCol w:w="1467"/>
        <w:gridCol w:w="2698"/>
        <w:gridCol w:w="273"/>
        <w:gridCol w:w="2425"/>
      </w:tblGrid>
      <w:tr w:rsidR="001E7DE1" w:rsidRPr="006C19DE" w14:paraId="1A8C423A" w14:textId="77777777" w:rsidTr="00B77532">
        <w:trPr>
          <w:trHeight w:val="305"/>
        </w:trPr>
        <w:tc>
          <w:tcPr>
            <w:tcW w:w="737" w:type="dxa"/>
          </w:tcPr>
          <w:p w14:paraId="24116BA4" w14:textId="77777777" w:rsidR="001E7DE1" w:rsidRPr="006C19DE" w:rsidRDefault="001E7DE1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Step</w:t>
            </w:r>
          </w:p>
        </w:tc>
        <w:tc>
          <w:tcPr>
            <w:tcW w:w="3190" w:type="dxa"/>
            <w:gridSpan w:val="2"/>
          </w:tcPr>
          <w:p w14:paraId="4B5B34F7" w14:textId="77777777" w:rsidR="001E7DE1" w:rsidRPr="006C19DE" w:rsidRDefault="001E7DE1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9DE">
              <w:rPr>
                <w:rFonts w:ascii="Arial" w:hAnsi="Arial" w:cs="Arial"/>
                <w:b/>
                <w:sz w:val="24"/>
                <w:szCs w:val="24"/>
              </w:rPr>
              <w:t>What to Do</w:t>
            </w:r>
          </w:p>
        </w:tc>
        <w:tc>
          <w:tcPr>
            <w:tcW w:w="4438" w:type="dxa"/>
            <w:gridSpan w:val="3"/>
          </w:tcPr>
          <w:p w14:paraId="050BBF07" w14:textId="77777777" w:rsidR="001E7DE1" w:rsidRPr="006C19DE" w:rsidRDefault="001E7DE1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9DE">
              <w:rPr>
                <w:rFonts w:ascii="Arial" w:hAnsi="Arial" w:cs="Arial"/>
                <w:b/>
                <w:sz w:val="24"/>
                <w:szCs w:val="24"/>
              </w:rPr>
              <w:t>How to Do It</w:t>
            </w:r>
          </w:p>
        </w:tc>
        <w:tc>
          <w:tcPr>
            <w:tcW w:w="2425" w:type="dxa"/>
          </w:tcPr>
          <w:p w14:paraId="2EAC141C" w14:textId="77777777" w:rsidR="001E7DE1" w:rsidRPr="006C19DE" w:rsidRDefault="001E7DE1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9DE">
              <w:rPr>
                <w:rFonts w:ascii="Arial" w:hAnsi="Arial" w:cs="Arial"/>
                <w:b/>
                <w:sz w:val="24"/>
                <w:szCs w:val="24"/>
              </w:rPr>
              <w:t>Who Does It</w:t>
            </w:r>
          </w:p>
        </w:tc>
      </w:tr>
      <w:tr w:rsidR="001E7DE1" w:rsidRPr="006C19DE" w14:paraId="5D5F60CD" w14:textId="77777777" w:rsidTr="00B77532">
        <w:trPr>
          <w:trHeight w:val="1237"/>
        </w:trPr>
        <w:tc>
          <w:tcPr>
            <w:tcW w:w="737" w:type="dxa"/>
          </w:tcPr>
          <w:p w14:paraId="11D56C90" w14:textId="77777777" w:rsidR="001E7DE1" w:rsidRPr="00B77532" w:rsidRDefault="001E7DE1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53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190" w:type="dxa"/>
            <w:gridSpan w:val="2"/>
          </w:tcPr>
          <w:p w14:paraId="43B27A59" w14:textId="77777777" w:rsidR="001E7DE1" w:rsidRPr="00B77532" w:rsidRDefault="00250A01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B77532">
              <w:rPr>
                <w:rFonts w:ascii="Arial" w:hAnsi="Arial" w:cs="Arial"/>
                <w:sz w:val="24"/>
                <w:szCs w:val="24"/>
              </w:rPr>
              <w:t>Compare received purchase order with</w:t>
            </w:r>
            <w:r w:rsidRPr="00B77532">
              <w:rPr>
                <w:rFonts w:ascii="Arial" w:hAnsi="Arial" w:cs="Arial"/>
                <w:sz w:val="24"/>
                <w:szCs w:val="24"/>
              </w:rPr>
              <w:br/>
              <w:t>packing slip.</w:t>
            </w:r>
          </w:p>
        </w:tc>
        <w:tc>
          <w:tcPr>
            <w:tcW w:w="4438" w:type="dxa"/>
            <w:gridSpan w:val="3"/>
          </w:tcPr>
          <w:p w14:paraId="310C7E5A" w14:textId="77777777" w:rsidR="00B77532" w:rsidRDefault="00B77532" w:rsidP="00B77532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</w:rPr>
            </w:pPr>
            <w:r w:rsidRPr="00B77532">
              <w:rPr>
                <w:rFonts w:ascii="Arial" w:eastAsia="Calibri" w:hAnsi="Arial" w:cs="Arial"/>
                <w:sz w:val="24"/>
                <w:szCs w:val="20"/>
              </w:rPr>
              <w:t xml:space="preserve">Open package(s) and compare contents to packing slip.  If correct, you should notify the person(s) identified as an Ariba receiver for your department. </w:t>
            </w:r>
          </w:p>
          <w:p w14:paraId="47580A40" w14:textId="77777777" w:rsidR="00B77532" w:rsidRDefault="00B77532" w:rsidP="00B77532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</w:rPr>
            </w:pPr>
          </w:p>
          <w:p w14:paraId="178E2500" w14:textId="77777777" w:rsidR="001E7DE1" w:rsidRPr="00B77532" w:rsidRDefault="00B77532" w:rsidP="00B775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7532">
              <w:rPr>
                <w:rFonts w:ascii="Arial" w:eastAsia="Calibri" w:hAnsi="Arial" w:cs="Arial"/>
                <w:sz w:val="24"/>
                <w:szCs w:val="20"/>
              </w:rPr>
              <w:t>For deliveries with damaged, missing, or incorrect items, see Step 2. Be sure to inform your receiver of these issues so the receiver can receive/reject the Ariba receipt appropriately in Ariba.</w:t>
            </w:r>
          </w:p>
        </w:tc>
        <w:tc>
          <w:tcPr>
            <w:tcW w:w="2425" w:type="dxa"/>
          </w:tcPr>
          <w:p w14:paraId="432E2C1E" w14:textId="77777777" w:rsidR="001E7DE1" w:rsidRPr="00B77532" w:rsidRDefault="00250A01" w:rsidP="00250A01">
            <w:pPr>
              <w:rPr>
                <w:rFonts w:ascii="Arial" w:hAnsi="Arial" w:cs="Arial"/>
                <w:sz w:val="24"/>
                <w:szCs w:val="24"/>
              </w:rPr>
            </w:pPr>
            <w:r w:rsidRPr="00B77532">
              <w:rPr>
                <w:rFonts w:ascii="Arial" w:hAnsi="Arial" w:cs="Arial"/>
                <w:sz w:val="24"/>
                <w:szCs w:val="24"/>
              </w:rPr>
              <w:t xml:space="preserve">Requester, Receiver, Business Office, </w:t>
            </w:r>
            <w:r w:rsidRPr="00B77532">
              <w:rPr>
                <w:rFonts w:ascii="Arial" w:hAnsi="Arial" w:cs="Arial"/>
                <w:sz w:val="24"/>
                <w:szCs w:val="24"/>
              </w:rPr>
              <w:br/>
              <w:t>Department Staff</w:t>
            </w:r>
          </w:p>
        </w:tc>
      </w:tr>
      <w:tr w:rsidR="001E7DE1" w:rsidRPr="006C19DE" w14:paraId="3F480DC0" w14:textId="77777777" w:rsidTr="00B77532">
        <w:trPr>
          <w:trHeight w:val="1237"/>
        </w:trPr>
        <w:tc>
          <w:tcPr>
            <w:tcW w:w="737" w:type="dxa"/>
          </w:tcPr>
          <w:p w14:paraId="2F117383" w14:textId="77777777" w:rsidR="001E7DE1" w:rsidRPr="00B77532" w:rsidRDefault="001E7DE1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53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</w:tcPr>
          <w:p w14:paraId="4B8936AA" w14:textId="77777777" w:rsidR="001E7DE1" w:rsidRPr="00B77532" w:rsidRDefault="00250A01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B77532">
              <w:rPr>
                <w:rFonts w:ascii="Arial" w:hAnsi="Arial" w:cs="Arial"/>
                <w:sz w:val="24"/>
                <w:szCs w:val="24"/>
              </w:rPr>
              <w:t>Contact the vendor about deliveries with missing, damaged, or incorrect items.</w:t>
            </w:r>
          </w:p>
        </w:tc>
        <w:tc>
          <w:tcPr>
            <w:tcW w:w="4438" w:type="dxa"/>
            <w:gridSpan w:val="3"/>
          </w:tcPr>
          <w:p w14:paraId="6A02FBEF" w14:textId="77777777" w:rsidR="00B77532" w:rsidRPr="00770E5A" w:rsidRDefault="00B77532" w:rsidP="00B7753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7532">
              <w:rPr>
                <w:rFonts w:ascii="Arial" w:hAnsi="Arial" w:cs="Arial"/>
                <w:sz w:val="24"/>
                <w:szCs w:val="24"/>
              </w:rPr>
              <w:t xml:space="preserve">For items that need to be returned because they are </w:t>
            </w:r>
            <w:r w:rsidRPr="00770E5A">
              <w:rPr>
                <w:rFonts w:ascii="Arial" w:hAnsi="Arial" w:cs="Arial"/>
                <w:b/>
                <w:sz w:val="24"/>
                <w:szCs w:val="24"/>
              </w:rPr>
              <w:t>damaged</w:t>
            </w:r>
            <w:r w:rsidRPr="00B77532">
              <w:rPr>
                <w:rFonts w:ascii="Arial" w:hAnsi="Arial" w:cs="Arial"/>
                <w:sz w:val="24"/>
                <w:szCs w:val="24"/>
              </w:rPr>
              <w:t xml:space="preserve">, see the </w:t>
            </w:r>
            <w:hyperlink r:id="rId13" w:history="1">
              <w:r w:rsidRPr="00B77532">
                <w:rPr>
                  <w:rStyle w:val="Hyperlink"/>
                  <w:rFonts w:ascii="Arial" w:hAnsi="Arial" w:cs="Arial"/>
                  <w:sz w:val="24"/>
                  <w:szCs w:val="24"/>
                </w:rPr>
                <w:t>claims processing policies</w:t>
              </w:r>
            </w:hyperlink>
            <w:r w:rsidRPr="00B7753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87FA69" w14:textId="77777777" w:rsidR="00B77532" w:rsidRDefault="00B77532" w:rsidP="00B7753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9E47E9" w14:textId="77777777" w:rsidR="00DB1113" w:rsidRDefault="00770E5A" w:rsidP="00B775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 xml:space="preserve">If the </w:t>
            </w:r>
            <w:r w:rsidRPr="00DB1113">
              <w:rPr>
                <w:rFonts w:ascii="Arial" w:hAnsi="Arial" w:cs="Arial"/>
                <w:b/>
                <w:sz w:val="24"/>
                <w:szCs w:val="24"/>
              </w:rPr>
              <w:t>wrong items</w:t>
            </w:r>
            <w:r w:rsidRPr="00DB1113">
              <w:rPr>
                <w:rFonts w:ascii="Arial" w:hAnsi="Arial" w:cs="Arial"/>
                <w:sz w:val="24"/>
                <w:szCs w:val="24"/>
              </w:rPr>
              <w:t xml:space="preserve"> were ordered or there is an i</w:t>
            </w:r>
            <w:r w:rsidR="00B77532" w:rsidRPr="00DB1113">
              <w:rPr>
                <w:rFonts w:ascii="Arial" w:hAnsi="Arial" w:cs="Arial"/>
                <w:sz w:val="24"/>
                <w:szCs w:val="24"/>
              </w:rPr>
              <w:t xml:space="preserve">ncorrect shipment of </w:t>
            </w:r>
            <w:r w:rsidRPr="00DB1113">
              <w:rPr>
                <w:rFonts w:ascii="Arial" w:hAnsi="Arial" w:cs="Arial"/>
                <w:sz w:val="24"/>
                <w:szCs w:val="24"/>
              </w:rPr>
              <w:t>items, c</w:t>
            </w:r>
            <w:r w:rsidR="00B77532" w:rsidRPr="00DB1113">
              <w:rPr>
                <w:rFonts w:ascii="Arial" w:hAnsi="Arial" w:cs="Arial"/>
                <w:sz w:val="24"/>
                <w:szCs w:val="24"/>
              </w:rPr>
              <w:t xml:space="preserve">ontact the vendor and make arrangements with them for pickup of those items and shipment of the correct items. Reject any invoices in reconciling status. </w:t>
            </w:r>
          </w:p>
          <w:p w14:paraId="4939B792" w14:textId="77777777" w:rsidR="00B77532" w:rsidRPr="00B77532" w:rsidRDefault="00DB1113" w:rsidP="00B775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  <w:u w:val="single"/>
              </w:rPr>
              <w:t>NOTE</w:t>
            </w:r>
            <w:r>
              <w:rPr>
                <w:rFonts w:ascii="Arial" w:hAnsi="Arial" w:cs="Arial"/>
                <w:sz w:val="24"/>
                <w:szCs w:val="24"/>
              </w:rPr>
              <w:t>: M</w:t>
            </w:r>
            <w:r w:rsidR="00B77532" w:rsidRPr="00DB1113">
              <w:rPr>
                <w:rFonts w:ascii="Arial" w:hAnsi="Arial" w:cs="Arial"/>
                <w:sz w:val="24"/>
                <w:szCs w:val="24"/>
              </w:rPr>
              <w:t>ost vendors have a 30 day return policy. Policies vary by vendor, please check with each vendor.</w:t>
            </w:r>
            <w:r w:rsidR="00B77532" w:rsidRPr="00B7753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</w:p>
          <w:p w14:paraId="464434AE" w14:textId="77777777" w:rsidR="00B77532" w:rsidRPr="00B77532" w:rsidRDefault="00B77532" w:rsidP="00B7753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A5CC7B" w14:textId="77777777" w:rsidR="001E7DE1" w:rsidRPr="00770E5A" w:rsidRDefault="00B77532" w:rsidP="00770E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7532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770E5A">
              <w:rPr>
                <w:rFonts w:ascii="Arial" w:hAnsi="Arial" w:cs="Arial"/>
                <w:b/>
                <w:sz w:val="24"/>
                <w:szCs w:val="24"/>
              </w:rPr>
              <w:t>missing items</w:t>
            </w:r>
            <w:r w:rsidRPr="00B77532">
              <w:rPr>
                <w:rFonts w:ascii="Arial" w:hAnsi="Arial" w:cs="Arial"/>
                <w:sz w:val="24"/>
                <w:szCs w:val="24"/>
              </w:rPr>
              <w:t>, notify the vendor so that the vendor can ship the missing item(s).</w:t>
            </w:r>
          </w:p>
        </w:tc>
        <w:tc>
          <w:tcPr>
            <w:tcW w:w="2425" w:type="dxa"/>
          </w:tcPr>
          <w:p w14:paraId="10A25949" w14:textId="77777777" w:rsidR="001E7DE1" w:rsidRPr="00B77532" w:rsidRDefault="00250A01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B77532">
              <w:rPr>
                <w:rFonts w:ascii="Arial" w:hAnsi="Arial" w:cs="Arial"/>
                <w:sz w:val="24"/>
                <w:szCs w:val="24"/>
              </w:rPr>
              <w:t xml:space="preserve">Requester, Receiver, Business Office, </w:t>
            </w:r>
            <w:r w:rsidRPr="00B77532">
              <w:rPr>
                <w:rFonts w:ascii="Arial" w:hAnsi="Arial" w:cs="Arial"/>
                <w:sz w:val="24"/>
                <w:szCs w:val="24"/>
              </w:rPr>
              <w:br/>
              <w:t>Department Staff</w:t>
            </w:r>
          </w:p>
        </w:tc>
      </w:tr>
      <w:tr w:rsidR="001E7DE1" w:rsidRPr="006C19DE" w14:paraId="596FE114" w14:textId="77777777" w:rsidTr="00DB1113">
        <w:trPr>
          <w:trHeight w:val="70"/>
        </w:trPr>
        <w:tc>
          <w:tcPr>
            <w:tcW w:w="737" w:type="dxa"/>
          </w:tcPr>
          <w:p w14:paraId="4A445C7C" w14:textId="77777777" w:rsidR="001E7DE1" w:rsidRPr="00B77532" w:rsidRDefault="001E7DE1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53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190" w:type="dxa"/>
            <w:gridSpan w:val="2"/>
          </w:tcPr>
          <w:p w14:paraId="3B9CE3CE" w14:textId="77777777" w:rsidR="00250A01" w:rsidRPr="00B77532" w:rsidRDefault="00B77532" w:rsidP="00250A01">
            <w:pPr>
              <w:rPr>
                <w:rFonts w:ascii="Arial" w:hAnsi="Arial" w:cs="Arial"/>
                <w:sz w:val="24"/>
                <w:szCs w:val="24"/>
              </w:rPr>
            </w:pPr>
            <w:r w:rsidRPr="00B77532">
              <w:rPr>
                <w:rFonts w:ascii="Arial" w:hAnsi="Arial" w:cs="Arial"/>
                <w:sz w:val="24"/>
                <w:szCs w:val="24"/>
              </w:rPr>
              <w:t xml:space="preserve">Review Open PO report. </w:t>
            </w:r>
          </w:p>
          <w:p w14:paraId="0CDC18C0" w14:textId="77777777" w:rsidR="001E7DE1" w:rsidRPr="00B77532" w:rsidRDefault="001E7DE1" w:rsidP="00B807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8" w:type="dxa"/>
            <w:gridSpan w:val="3"/>
          </w:tcPr>
          <w:p w14:paraId="72AE3917" w14:textId="77777777" w:rsidR="00DB1113" w:rsidRPr="00DB1113" w:rsidRDefault="00DB1113" w:rsidP="00DB11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 xml:space="preserve">View report on </w:t>
            </w:r>
            <w:hyperlink r:id="rId14" w:history="1">
              <w:r w:rsidRPr="00DB1113">
                <w:rPr>
                  <w:rStyle w:val="Hyperlink"/>
                  <w:rFonts w:ascii="Arial" w:hAnsi="Arial" w:cs="Arial"/>
                  <w:sz w:val="24"/>
                  <w:szCs w:val="24"/>
                </w:rPr>
                <w:t>Procure-to-Pay SharePoint site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DB1113">
              <w:rPr>
                <w:rFonts w:ascii="Arial" w:hAnsi="Arial" w:cs="Arial"/>
                <w:sz w:val="24"/>
                <w:szCs w:val="24"/>
              </w:rPr>
              <w:t>Review any lines that have a delivery date more than 14 days old and do one of the following:</w:t>
            </w:r>
          </w:p>
          <w:p w14:paraId="20D1222A" w14:textId="77777777" w:rsidR="00DB1113" w:rsidRPr="00DB1113" w:rsidRDefault="00DB1113" w:rsidP="00DB111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b/>
                <w:sz w:val="24"/>
                <w:szCs w:val="24"/>
              </w:rPr>
              <w:t>Receive</w:t>
            </w:r>
            <w:r w:rsidRPr="00DB1113">
              <w:rPr>
                <w:rFonts w:ascii="Arial" w:hAnsi="Arial" w:cs="Arial"/>
                <w:sz w:val="24"/>
                <w:szCs w:val="24"/>
              </w:rPr>
              <w:t xml:space="preserve"> in Ariba (if items physically received and ready to pay)</w:t>
            </w:r>
          </w:p>
          <w:p w14:paraId="12187403" w14:textId="77777777" w:rsidR="00DB1113" w:rsidRPr="00DB1113" w:rsidRDefault="00DB1113" w:rsidP="00DB111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b/>
                <w:sz w:val="24"/>
                <w:szCs w:val="24"/>
              </w:rPr>
              <w:t>Cancel</w:t>
            </w:r>
            <w:r w:rsidRPr="00DB1113">
              <w:rPr>
                <w:rFonts w:ascii="Arial" w:hAnsi="Arial" w:cs="Arial"/>
                <w:sz w:val="24"/>
                <w:szCs w:val="24"/>
              </w:rPr>
              <w:t xml:space="preserve"> (if items have not and will not be physically received)</w:t>
            </w:r>
          </w:p>
          <w:p w14:paraId="4F2746E5" w14:textId="77777777" w:rsidR="001E7DE1" w:rsidRPr="00DB1113" w:rsidRDefault="00DB1113" w:rsidP="00DB111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 xml:space="preserve">Send an </w:t>
            </w:r>
            <w:r w:rsidRPr="00DB1113">
              <w:rPr>
                <w:rFonts w:ascii="Arial" w:hAnsi="Arial" w:cs="Arial"/>
                <w:b/>
                <w:sz w:val="24"/>
                <w:szCs w:val="24"/>
              </w:rPr>
              <w:t>updated delivery date</w:t>
            </w:r>
            <w:r w:rsidRPr="00DB1113">
              <w:rPr>
                <w:rFonts w:ascii="Arial" w:hAnsi="Arial" w:cs="Arial"/>
                <w:sz w:val="24"/>
                <w:szCs w:val="24"/>
              </w:rPr>
              <w:t xml:space="preserve"> for each line</w:t>
            </w:r>
            <w:bookmarkStart w:id="0" w:name="_GoBack"/>
            <w:bookmarkEnd w:id="0"/>
            <w:r w:rsidRPr="00DB1113">
              <w:rPr>
                <w:rFonts w:ascii="Arial" w:hAnsi="Arial" w:cs="Arial"/>
                <w:sz w:val="24"/>
                <w:szCs w:val="24"/>
              </w:rPr>
              <w:t xml:space="preserve"> to </w:t>
            </w:r>
            <w:hyperlink r:id="rId15" w:history="1">
              <w:r w:rsidRPr="00DB1113">
                <w:rPr>
                  <w:rStyle w:val="Hyperlink"/>
                  <w:rFonts w:ascii="Arial" w:hAnsi="Arial" w:cs="Arial"/>
                  <w:sz w:val="24"/>
                  <w:szCs w:val="24"/>
                </w:rPr>
                <w:t>pshelpdesk@purdue.edu</w:t>
              </w:r>
            </w:hyperlink>
            <w:r w:rsidRPr="00DB1113">
              <w:rPr>
                <w:rFonts w:ascii="Arial" w:hAnsi="Arial" w:cs="Arial"/>
                <w:sz w:val="24"/>
                <w:szCs w:val="24"/>
              </w:rPr>
              <w:t xml:space="preserve">.  Once updated,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B1113">
              <w:rPr>
                <w:rFonts w:ascii="Arial" w:hAnsi="Arial" w:cs="Arial"/>
                <w:sz w:val="24"/>
                <w:szCs w:val="24"/>
              </w:rPr>
              <w:t xml:space="preserve">ines </w:t>
            </w:r>
            <w:r>
              <w:rPr>
                <w:rFonts w:ascii="Arial" w:hAnsi="Arial" w:cs="Arial"/>
                <w:sz w:val="24"/>
                <w:szCs w:val="24"/>
              </w:rPr>
              <w:t xml:space="preserve">will adjust </w:t>
            </w:r>
            <w:r w:rsidRPr="00DB1113">
              <w:rPr>
                <w:rFonts w:ascii="Arial" w:hAnsi="Arial" w:cs="Arial"/>
                <w:sz w:val="24"/>
                <w:szCs w:val="24"/>
              </w:rPr>
              <w:t>to the appropriate pl</w:t>
            </w:r>
            <w:r>
              <w:rPr>
                <w:rFonts w:ascii="Arial" w:hAnsi="Arial" w:cs="Arial"/>
                <w:sz w:val="24"/>
                <w:szCs w:val="24"/>
              </w:rPr>
              <w:t xml:space="preserve">ace on the report and </w:t>
            </w:r>
            <w:r w:rsidRPr="00DB1113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>
              <w:rPr>
                <w:rFonts w:ascii="Arial" w:hAnsi="Arial" w:cs="Arial"/>
                <w:sz w:val="24"/>
                <w:szCs w:val="24"/>
              </w:rPr>
              <w:t xml:space="preserve">no longer </w:t>
            </w:r>
            <w:r w:rsidRPr="00DB1113">
              <w:rPr>
                <w:rFonts w:ascii="Arial" w:hAnsi="Arial" w:cs="Arial"/>
                <w:sz w:val="24"/>
                <w:szCs w:val="24"/>
              </w:rPr>
              <w:t xml:space="preserve">show </w:t>
            </w:r>
            <w:r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Pr="00DB1113">
              <w:rPr>
                <w:rFonts w:ascii="Arial" w:hAnsi="Arial" w:cs="Arial"/>
                <w:sz w:val="24"/>
                <w:szCs w:val="24"/>
              </w:rPr>
              <w:t>past due.</w:t>
            </w:r>
            <w:r w:rsidRPr="00DB1113">
              <w:rPr>
                <w:rFonts w:ascii="Verdana" w:hAnsi="Verdana" w:cs="Tahoma"/>
                <w:sz w:val="20"/>
                <w:szCs w:val="20"/>
              </w:rPr>
              <w:t xml:space="preserve">  </w:t>
            </w:r>
          </w:p>
        </w:tc>
        <w:tc>
          <w:tcPr>
            <w:tcW w:w="2425" w:type="dxa"/>
          </w:tcPr>
          <w:p w14:paraId="30D794B0" w14:textId="77777777" w:rsidR="001E7DE1" w:rsidRPr="00B77532" w:rsidRDefault="00B77532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B77532">
              <w:rPr>
                <w:rFonts w:ascii="Arial" w:hAnsi="Arial" w:cs="Arial"/>
                <w:sz w:val="24"/>
                <w:szCs w:val="24"/>
              </w:rPr>
              <w:lastRenderedPageBreak/>
              <w:t xml:space="preserve">Requester, Receiver, Business Office, </w:t>
            </w:r>
            <w:r w:rsidRPr="00B77532">
              <w:rPr>
                <w:rFonts w:ascii="Arial" w:hAnsi="Arial" w:cs="Arial"/>
                <w:sz w:val="24"/>
                <w:szCs w:val="24"/>
              </w:rPr>
              <w:br/>
              <w:t>Department Staff</w:t>
            </w:r>
          </w:p>
        </w:tc>
      </w:tr>
      <w:tr w:rsidR="00250A01" w:rsidRPr="006C19DE" w14:paraId="1DE0DD43" w14:textId="77777777" w:rsidTr="00DB1113">
        <w:trPr>
          <w:trHeight w:val="5363"/>
        </w:trPr>
        <w:tc>
          <w:tcPr>
            <w:tcW w:w="737" w:type="dxa"/>
          </w:tcPr>
          <w:p w14:paraId="341A9E7F" w14:textId="77777777" w:rsidR="00250A01" w:rsidRPr="00B77532" w:rsidRDefault="00B77532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190" w:type="dxa"/>
            <w:gridSpan w:val="2"/>
          </w:tcPr>
          <w:p w14:paraId="7C3F4CFE" w14:textId="77777777" w:rsidR="00250A01" w:rsidRPr="00B77532" w:rsidRDefault="00B77532" w:rsidP="00250A01">
            <w:pPr>
              <w:rPr>
                <w:rFonts w:ascii="Arial" w:hAnsi="Arial" w:cs="Arial"/>
                <w:sz w:val="24"/>
                <w:szCs w:val="24"/>
              </w:rPr>
            </w:pPr>
            <w:r w:rsidRPr="00B77532">
              <w:rPr>
                <w:rFonts w:ascii="Arial" w:hAnsi="Arial" w:cs="Arial"/>
                <w:sz w:val="24"/>
                <w:szCs w:val="24"/>
              </w:rPr>
              <w:t>Review GRIR Clearing Report.</w:t>
            </w:r>
          </w:p>
        </w:tc>
        <w:tc>
          <w:tcPr>
            <w:tcW w:w="4438" w:type="dxa"/>
            <w:gridSpan w:val="3"/>
          </w:tcPr>
          <w:p w14:paraId="2379AAD4" w14:textId="77777777" w:rsidR="00DB1113" w:rsidRPr="00DB1113" w:rsidRDefault="00DB1113" w:rsidP="00DB11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 xml:space="preserve">View report on </w:t>
            </w:r>
            <w:hyperlink r:id="rId16" w:history="1">
              <w:r w:rsidRPr="00DB1113">
                <w:rPr>
                  <w:rStyle w:val="Hyperlink"/>
                  <w:rFonts w:ascii="Arial" w:hAnsi="Arial" w:cs="Arial"/>
                  <w:sz w:val="24"/>
                  <w:szCs w:val="24"/>
                </w:rPr>
                <w:t>Procure-to-Pay SharePoint site</w:t>
              </w:r>
            </w:hyperlink>
            <w:r w:rsidRPr="00DB1113">
              <w:rPr>
                <w:rFonts w:ascii="Arial" w:hAnsi="Arial" w:cs="Arial"/>
                <w:sz w:val="24"/>
                <w:szCs w:val="24"/>
              </w:rPr>
              <w:t xml:space="preserve">.  Filter on invoice needed in the action field and filter 31-60, 61-90 and &gt;90 in the days old field.  These are goods receipts that have been processed, but no invoices are in SAP.  </w:t>
            </w:r>
          </w:p>
          <w:p w14:paraId="0D9B58EA" w14:textId="77777777" w:rsidR="00DB1113" w:rsidRPr="00DB1113" w:rsidRDefault="00DB1113" w:rsidP="00DB111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>Validate the invoice is not in Ariba and needs to be reconciled or approved and sent to Ariba.</w:t>
            </w:r>
          </w:p>
          <w:p w14:paraId="1BAED0F1" w14:textId="77777777" w:rsidR="00DB1113" w:rsidRPr="00DB1113" w:rsidRDefault="00DB1113" w:rsidP="00DB1113">
            <w:pPr>
              <w:numPr>
                <w:ilvl w:val="1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 xml:space="preserve">Process the exception if the invoice is in Ariba. </w:t>
            </w:r>
          </w:p>
          <w:p w14:paraId="1C926F6A" w14:textId="77777777" w:rsidR="00DB1113" w:rsidRPr="00DB1113" w:rsidRDefault="00DB1113" w:rsidP="00DB111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>If no invoice, validate if the item(s) were physically received.</w:t>
            </w:r>
          </w:p>
          <w:p w14:paraId="38C90263" w14:textId="77777777" w:rsidR="00DB1113" w:rsidRPr="00DB1113" w:rsidRDefault="00DB1113" w:rsidP="00DB1113">
            <w:pPr>
              <w:numPr>
                <w:ilvl w:val="1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 xml:space="preserve">If not physically received, process a reversal in Ariba.  </w:t>
            </w:r>
          </w:p>
          <w:p w14:paraId="126D5161" w14:textId="77777777" w:rsidR="00250A01" w:rsidRPr="00DB1113" w:rsidRDefault="00DB1113" w:rsidP="00DB111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>Contact the vendor if item(s) were physically received and an invoice is needed.</w:t>
            </w:r>
            <w:r>
              <w:t xml:space="preserve">  </w:t>
            </w:r>
          </w:p>
        </w:tc>
        <w:tc>
          <w:tcPr>
            <w:tcW w:w="2425" w:type="dxa"/>
          </w:tcPr>
          <w:p w14:paraId="06D7BFAC" w14:textId="77777777" w:rsidR="00250A01" w:rsidRPr="00B77532" w:rsidRDefault="00B77532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B77532">
              <w:rPr>
                <w:rFonts w:ascii="Arial" w:hAnsi="Arial" w:cs="Arial"/>
                <w:sz w:val="24"/>
                <w:szCs w:val="24"/>
              </w:rPr>
              <w:t xml:space="preserve">Requester, Receiver, Business Office, </w:t>
            </w:r>
            <w:r w:rsidRPr="00B77532">
              <w:rPr>
                <w:rFonts w:ascii="Arial" w:hAnsi="Arial" w:cs="Arial"/>
                <w:sz w:val="24"/>
                <w:szCs w:val="24"/>
              </w:rPr>
              <w:br/>
              <w:t>Department Staff</w:t>
            </w:r>
          </w:p>
        </w:tc>
      </w:tr>
      <w:tr w:rsidR="00250A01" w:rsidRPr="006C19DE" w14:paraId="3ED0EB5A" w14:textId="77777777" w:rsidTr="00B77532">
        <w:trPr>
          <w:trHeight w:val="1237"/>
        </w:trPr>
        <w:tc>
          <w:tcPr>
            <w:tcW w:w="737" w:type="dxa"/>
          </w:tcPr>
          <w:p w14:paraId="56951A85" w14:textId="77777777" w:rsidR="00250A01" w:rsidRPr="00B77532" w:rsidRDefault="00B77532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190" w:type="dxa"/>
            <w:gridSpan w:val="2"/>
          </w:tcPr>
          <w:p w14:paraId="31274F96" w14:textId="77777777" w:rsidR="00250A01" w:rsidRPr="00B77532" w:rsidRDefault="00B77532" w:rsidP="00250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 receipt in Ariba.</w:t>
            </w:r>
          </w:p>
        </w:tc>
        <w:tc>
          <w:tcPr>
            <w:tcW w:w="4438" w:type="dxa"/>
            <w:gridSpan w:val="3"/>
          </w:tcPr>
          <w:p w14:paraId="4C24FD37" w14:textId="223DBB25" w:rsidR="00250A01" w:rsidRPr="00DB1113" w:rsidRDefault="00DB1113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>In Ariba, receipts will be automatically processed for purchase orders (PO’s) that total $</w:t>
            </w:r>
            <w:r w:rsidR="00F3219C">
              <w:rPr>
                <w:rFonts w:ascii="Arial" w:hAnsi="Arial" w:cs="Arial"/>
                <w:sz w:val="24"/>
                <w:szCs w:val="24"/>
              </w:rPr>
              <w:t>1000</w:t>
            </w:r>
            <w:r w:rsidRPr="00DB1113">
              <w:rPr>
                <w:rFonts w:ascii="Arial" w:hAnsi="Arial" w:cs="Arial"/>
                <w:sz w:val="24"/>
                <w:szCs w:val="24"/>
              </w:rPr>
              <w:t xml:space="preserve"> or less.</w:t>
            </w:r>
          </w:p>
          <w:p w14:paraId="42130B03" w14:textId="061CB835" w:rsidR="00DB1113" w:rsidRDefault="00DB1113" w:rsidP="00DB11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 xml:space="preserve">See the </w:t>
            </w:r>
            <w:hyperlink r:id="rId17" w:history="1">
              <w:r w:rsidR="0046777E" w:rsidRPr="0046777E">
                <w:rPr>
                  <w:rStyle w:val="Hyperlink"/>
                  <w:rFonts w:ascii="Arial" w:hAnsi="Arial" w:cs="Arial"/>
                  <w:sz w:val="24"/>
                  <w:szCs w:val="24"/>
                </w:rPr>
                <w:t>Receiving in Ariba QRG</w:t>
              </w:r>
            </w:hyperlink>
            <w:r w:rsidRPr="00DB1113">
              <w:rPr>
                <w:rFonts w:ascii="Arial" w:hAnsi="Arial" w:cs="Arial"/>
                <w:sz w:val="24"/>
                <w:szCs w:val="24"/>
              </w:rPr>
              <w:t xml:space="preserve"> for step-by-step instructions.   </w:t>
            </w:r>
          </w:p>
          <w:p w14:paraId="6F9A385F" w14:textId="77777777" w:rsidR="00DB1113" w:rsidRPr="00DB1113" w:rsidRDefault="00DB1113" w:rsidP="00DB11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  <w:u w:val="single"/>
              </w:rPr>
              <w:t>NOTE</w:t>
            </w:r>
            <w:r w:rsidRPr="00DB1113">
              <w:rPr>
                <w:rFonts w:ascii="Arial" w:hAnsi="Arial" w:cs="Arial"/>
                <w:sz w:val="24"/>
                <w:szCs w:val="24"/>
              </w:rPr>
              <w:t xml:space="preserve">: PO’s must show received in the system for payment to be made to the vendor.  </w:t>
            </w:r>
          </w:p>
        </w:tc>
        <w:tc>
          <w:tcPr>
            <w:tcW w:w="2425" w:type="dxa"/>
          </w:tcPr>
          <w:p w14:paraId="0A717CE4" w14:textId="77777777" w:rsidR="00250A01" w:rsidRPr="00B77532" w:rsidRDefault="00B77532" w:rsidP="00B80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Receiver</w:t>
            </w:r>
          </w:p>
        </w:tc>
      </w:tr>
      <w:tr w:rsidR="00B77532" w:rsidRPr="006C19DE" w14:paraId="3FDDC419" w14:textId="77777777" w:rsidTr="00B77532">
        <w:trPr>
          <w:trHeight w:val="1237"/>
        </w:trPr>
        <w:tc>
          <w:tcPr>
            <w:tcW w:w="737" w:type="dxa"/>
          </w:tcPr>
          <w:p w14:paraId="6FE1C232" w14:textId="77777777" w:rsidR="00B77532" w:rsidRDefault="00B77532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190" w:type="dxa"/>
            <w:gridSpan w:val="2"/>
          </w:tcPr>
          <w:p w14:paraId="42E3E496" w14:textId="77777777" w:rsidR="00B77532" w:rsidRDefault="00B77532" w:rsidP="00250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 documentation.</w:t>
            </w:r>
          </w:p>
        </w:tc>
        <w:tc>
          <w:tcPr>
            <w:tcW w:w="4438" w:type="dxa"/>
            <w:gridSpan w:val="3"/>
          </w:tcPr>
          <w:p w14:paraId="3BC5220A" w14:textId="77777777" w:rsidR="00DB1113" w:rsidRDefault="00DB1113" w:rsidP="00DB11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 xml:space="preserve">File the original purchase request document, the packing slip, and all other back-up paperwork in accordance with the </w:t>
            </w:r>
            <w:hyperlink r:id="rId18" w:history="1">
              <w:r w:rsidRPr="00DB1113">
                <w:rPr>
                  <w:rStyle w:val="Hyperlink"/>
                  <w:rFonts w:ascii="Arial" w:hAnsi="Arial" w:cs="Arial"/>
                  <w:sz w:val="24"/>
                  <w:szCs w:val="24"/>
                </w:rPr>
                <w:t>document retention guidelines</w:t>
              </w:r>
            </w:hyperlink>
            <w:r w:rsidRPr="00DB1113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14B7A16B" w14:textId="77777777" w:rsidR="00DB1113" w:rsidRPr="00DB1113" w:rsidRDefault="00DB1113" w:rsidP="00DB11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B839CB" w14:textId="35B21FED" w:rsidR="00B77532" w:rsidRPr="00B77532" w:rsidRDefault="00441C05" w:rsidP="00441C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DB1113" w:rsidRPr="00DB1113">
              <w:rPr>
                <w:rFonts w:ascii="Arial" w:hAnsi="Arial" w:cs="Arial"/>
                <w:sz w:val="24"/>
                <w:szCs w:val="24"/>
              </w:rPr>
              <w:t>can the packing slip and attach to receipt in Ariba.  If the receipt has already been processed, attach the scanned packing slip to the PO.</w:t>
            </w:r>
            <w:r w:rsidR="00DB1113">
              <w:rPr>
                <w:rFonts w:ascii="Verdana" w:hAnsi="Verdana" w:cs="Tahoma"/>
                <w:sz w:val="20"/>
                <w:szCs w:val="20"/>
              </w:rPr>
              <w:t xml:space="preserve">  </w:t>
            </w:r>
          </w:p>
        </w:tc>
        <w:tc>
          <w:tcPr>
            <w:tcW w:w="2425" w:type="dxa"/>
          </w:tcPr>
          <w:p w14:paraId="2D8E1C3B" w14:textId="77777777" w:rsidR="00B77532" w:rsidRPr="00B77532" w:rsidRDefault="00B77532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B77532">
              <w:rPr>
                <w:rFonts w:ascii="Arial" w:hAnsi="Arial" w:cs="Arial"/>
                <w:sz w:val="24"/>
                <w:szCs w:val="24"/>
              </w:rPr>
              <w:t xml:space="preserve">Requester, Receiver, </w:t>
            </w:r>
            <w:r>
              <w:rPr>
                <w:rFonts w:ascii="Arial" w:hAnsi="Arial" w:cs="Arial"/>
                <w:sz w:val="24"/>
                <w:szCs w:val="24"/>
              </w:rPr>
              <w:t>Business Office</w:t>
            </w:r>
          </w:p>
        </w:tc>
      </w:tr>
      <w:tr w:rsidR="00B65DA0" w:rsidRPr="006C19DE" w14:paraId="119D74A2" w14:textId="77777777" w:rsidTr="00B77532">
        <w:trPr>
          <w:hidden/>
        </w:trPr>
        <w:tc>
          <w:tcPr>
            <w:tcW w:w="2697" w:type="dxa"/>
            <w:gridSpan w:val="2"/>
          </w:tcPr>
          <w:p w14:paraId="39B8C38E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7" w:type="dxa"/>
            <w:gridSpan w:val="2"/>
          </w:tcPr>
          <w:p w14:paraId="0032FB93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</w:tcPr>
          <w:p w14:paraId="3EE9F9D7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  <w:gridSpan w:val="2"/>
          </w:tcPr>
          <w:p w14:paraId="312272DE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  <w:tr w:rsidR="00B65DA0" w:rsidRPr="006C19DE" w14:paraId="6C89DA85" w14:textId="77777777" w:rsidTr="00B77532">
        <w:trPr>
          <w:hidden/>
        </w:trPr>
        <w:tc>
          <w:tcPr>
            <w:tcW w:w="2697" w:type="dxa"/>
            <w:gridSpan w:val="2"/>
          </w:tcPr>
          <w:p w14:paraId="6090375A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7" w:type="dxa"/>
            <w:gridSpan w:val="2"/>
          </w:tcPr>
          <w:p w14:paraId="17A862FF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</w:tcPr>
          <w:p w14:paraId="31EA884F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  <w:gridSpan w:val="2"/>
          </w:tcPr>
          <w:p w14:paraId="0D7C16F8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  <w:tr w:rsidR="00B65DA0" w:rsidRPr="006C19DE" w14:paraId="5E29143D" w14:textId="77777777" w:rsidTr="00B77532">
        <w:trPr>
          <w:hidden/>
        </w:trPr>
        <w:tc>
          <w:tcPr>
            <w:tcW w:w="2697" w:type="dxa"/>
            <w:gridSpan w:val="2"/>
          </w:tcPr>
          <w:p w14:paraId="7F910385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7" w:type="dxa"/>
            <w:gridSpan w:val="2"/>
          </w:tcPr>
          <w:p w14:paraId="7940F209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</w:tcPr>
          <w:p w14:paraId="4B9232B0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  <w:gridSpan w:val="2"/>
          </w:tcPr>
          <w:p w14:paraId="42AF67AC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  <w:tr w:rsidR="00B65DA0" w:rsidRPr="006C19DE" w14:paraId="1A9F7EDD" w14:textId="77777777" w:rsidTr="00B77532">
        <w:trPr>
          <w:hidden/>
        </w:trPr>
        <w:tc>
          <w:tcPr>
            <w:tcW w:w="2697" w:type="dxa"/>
            <w:gridSpan w:val="2"/>
          </w:tcPr>
          <w:p w14:paraId="68FA516F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7" w:type="dxa"/>
            <w:gridSpan w:val="2"/>
          </w:tcPr>
          <w:p w14:paraId="6612F107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</w:tcPr>
          <w:p w14:paraId="7FB59459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  <w:gridSpan w:val="2"/>
          </w:tcPr>
          <w:p w14:paraId="74090F5E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73D2A58B" w14:textId="77777777" w:rsidR="00A36FEB" w:rsidRPr="006C19DE" w:rsidRDefault="00A36FEB" w:rsidP="00F347CD">
      <w:pPr>
        <w:spacing w:after="0"/>
        <w:rPr>
          <w:rFonts w:ascii="Arial" w:hAnsi="Arial" w:cs="Arial"/>
          <w:vanish/>
          <w:sz w:val="20"/>
          <w:szCs w:val="20"/>
        </w:rPr>
      </w:pPr>
    </w:p>
    <w:sectPr w:rsidR="00A36FEB" w:rsidRPr="006C19DE" w:rsidSect="00705149">
      <w:headerReference w:type="default" r:id="rId19"/>
      <w:footerReference w:type="default" r:id="rId20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5149D" w14:textId="77777777" w:rsidR="001E7DE1" w:rsidRDefault="001E7DE1" w:rsidP="00654D65">
      <w:pPr>
        <w:spacing w:after="0" w:line="240" w:lineRule="auto"/>
      </w:pPr>
      <w:r>
        <w:separator/>
      </w:r>
    </w:p>
  </w:endnote>
  <w:endnote w:type="continuationSeparator" w:id="0">
    <w:p w14:paraId="26647E23" w14:textId="77777777" w:rsidR="001E7DE1" w:rsidRDefault="001E7DE1" w:rsidP="006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E4884" w14:textId="649DBFC8" w:rsidR="002A52E6" w:rsidRPr="0071497E" w:rsidRDefault="001E7DE1" w:rsidP="00D151F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 20</w:t>
    </w:r>
    <w:r w:rsidR="00442861">
      <w:rPr>
        <w:rFonts w:ascii="Arial" w:hAnsi="Arial" w:cs="Arial"/>
        <w:sz w:val="16"/>
        <w:szCs w:val="16"/>
      </w:rPr>
      <w:t>21</w:t>
    </w:r>
    <w:r w:rsidR="002A52E6" w:rsidRPr="0071497E">
      <w:rPr>
        <w:rFonts w:ascii="Arial" w:hAnsi="Arial" w:cs="Arial"/>
        <w:sz w:val="16"/>
        <w:szCs w:val="16"/>
      </w:rPr>
      <w:t xml:space="preserve"> Purdue University</w:t>
    </w:r>
  </w:p>
  <w:p w14:paraId="6D90D434" w14:textId="087BF9E6" w:rsidR="002A52E6" w:rsidRPr="0071497E" w:rsidRDefault="000A697E" w:rsidP="00D151F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Last Updated</w:t>
    </w:r>
    <w:r w:rsidR="00CA0FE4">
      <w:rPr>
        <w:rFonts w:ascii="Arial" w:hAnsi="Arial" w:cs="Arial"/>
        <w:sz w:val="16"/>
        <w:szCs w:val="16"/>
      </w:rPr>
      <w:t xml:space="preserve"> </w:t>
    </w:r>
    <w:r w:rsidR="00442861">
      <w:rPr>
        <w:rFonts w:ascii="Arial" w:hAnsi="Arial" w:cs="Arial"/>
        <w:sz w:val="16"/>
        <w:szCs w:val="16"/>
      </w:rPr>
      <w:t>02</w:t>
    </w:r>
    <w:r w:rsidR="001E7DE1">
      <w:rPr>
        <w:rFonts w:ascii="Arial" w:hAnsi="Arial" w:cs="Arial"/>
        <w:sz w:val="16"/>
        <w:szCs w:val="16"/>
      </w:rPr>
      <w:t>/</w:t>
    </w:r>
    <w:r w:rsidR="00442861">
      <w:rPr>
        <w:rFonts w:ascii="Arial" w:hAnsi="Arial" w:cs="Arial"/>
        <w:sz w:val="16"/>
        <w:szCs w:val="16"/>
      </w:rPr>
      <w:t>12</w:t>
    </w:r>
    <w:r w:rsidR="001E7DE1">
      <w:rPr>
        <w:rFonts w:ascii="Arial" w:hAnsi="Arial" w:cs="Arial"/>
        <w:sz w:val="16"/>
        <w:szCs w:val="16"/>
      </w:rPr>
      <w:t>/20</w:t>
    </w:r>
    <w:r w:rsidR="00442861">
      <w:rPr>
        <w:rFonts w:ascii="Arial" w:hAnsi="Arial" w:cs="Arial"/>
        <w:sz w:val="16"/>
        <w:szCs w:val="16"/>
      </w:rPr>
      <w:t>21</w:t>
    </w:r>
    <w:r w:rsidR="001E7DE1">
      <w:rPr>
        <w:rFonts w:ascii="Arial" w:hAnsi="Arial" w:cs="Arial"/>
        <w:sz w:val="16"/>
        <w:szCs w:val="16"/>
      </w:rPr>
      <w:t xml:space="preserve"> TLBW</w:t>
    </w:r>
  </w:p>
  <w:p w14:paraId="6829D071" w14:textId="15E5F59F" w:rsidR="002A52E6" w:rsidRPr="005F418F" w:rsidRDefault="002A52E6" w:rsidP="0071497E">
    <w:pPr>
      <w:pStyle w:val="Footer"/>
      <w:jc w:val="center"/>
      <w:rPr>
        <w:rFonts w:ascii="Verdana" w:hAnsi="Verdana" w:cs="Arial"/>
        <w:sz w:val="20"/>
        <w:szCs w:val="20"/>
      </w:rPr>
    </w:pPr>
    <w:r w:rsidRPr="0071497E">
      <w:rPr>
        <w:rFonts w:ascii="Arial" w:hAnsi="Arial" w:cs="Arial"/>
        <w:noProof/>
        <w:sz w:val="16"/>
        <w:szCs w:val="16"/>
      </w:rPr>
      <w:t xml:space="preserve">Page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442861">
      <w:rPr>
        <w:rFonts w:ascii="Arial" w:hAnsi="Arial" w:cs="Arial"/>
        <w:b/>
        <w:noProof/>
        <w:sz w:val="16"/>
        <w:szCs w:val="16"/>
      </w:rPr>
      <w:t>1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  <w:r w:rsidRPr="0071497E">
      <w:rPr>
        <w:rFonts w:ascii="Arial" w:hAnsi="Arial" w:cs="Arial"/>
        <w:noProof/>
        <w:sz w:val="16"/>
        <w:szCs w:val="16"/>
      </w:rPr>
      <w:t xml:space="preserve"> of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442861">
      <w:rPr>
        <w:rFonts w:ascii="Arial" w:hAnsi="Arial" w:cs="Arial"/>
        <w:b/>
        <w:noProof/>
        <w:sz w:val="16"/>
        <w:szCs w:val="16"/>
      </w:rPr>
      <w:t>2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E5B24" w14:textId="77777777" w:rsidR="001E7DE1" w:rsidRDefault="001E7DE1" w:rsidP="00654D65">
      <w:pPr>
        <w:spacing w:after="0" w:line="240" w:lineRule="auto"/>
      </w:pPr>
      <w:r>
        <w:separator/>
      </w:r>
    </w:p>
  </w:footnote>
  <w:footnote w:type="continuationSeparator" w:id="0">
    <w:p w14:paraId="386B309F" w14:textId="77777777" w:rsidR="001E7DE1" w:rsidRDefault="001E7DE1" w:rsidP="006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726"/>
      <w:gridCol w:w="4074"/>
    </w:tblGrid>
    <w:tr w:rsidR="00250A01" w:rsidRPr="00D80104" w14:paraId="5A7965A6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0C51C804" w14:textId="2DC0DAC6" w:rsidR="002A52E6" w:rsidRPr="00D80104" w:rsidRDefault="0004329C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5A9597EC" wp14:editId="37F22934">
                <wp:extent cx="4133215" cy="435610"/>
                <wp:effectExtent l="0" t="0" r="635" b="254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321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3872EF89" w14:textId="77777777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</w:pPr>
        </w:p>
        <w:p w14:paraId="2C5C2972" w14:textId="77777777" w:rsidR="002A52E6" w:rsidRPr="006C19DE" w:rsidRDefault="00B65DA0" w:rsidP="00233BF8">
          <w:pPr>
            <w:pStyle w:val="Header"/>
            <w:tabs>
              <w:tab w:val="left" w:pos="180"/>
            </w:tabs>
            <w:jc w:val="right"/>
            <w:rPr>
              <w:rFonts w:ascii="Arial" w:hAnsi="Arial" w:cs="Arial"/>
              <w:b/>
              <w:bCs/>
              <w:i/>
              <w:iCs/>
              <w:color w:val="C28E0E"/>
              <w:sz w:val="28"/>
              <w:szCs w:val="28"/>
            </w:rPr>
          </w:pPr>
          <w:r w:rsidRPr="006C19DE">
            <w:rPr>
              <w:rFonts w:ascii="Arial" w:hAnsi="Arial" w:cs="Arial"/>
              <w:b/>
              <w:i/>
              <w:iCs/>
              <w:color w:val="C28E0E"/>
              <w:sz w:val="28"/>
              <w:szCs w:val="28"/>
            </w:rPr>
            <w:t>Business Process</w:t>
          </w:r>
        </w:p>
        <w:p w14:paraId="66AEC99C" w14:textId="77777777" w:rsidR="002A52E6" w:rsidRPr="00B65DA0" w:rsidRDefault="00250A01" w:rsidP="00B77532">
          <w:pPr>
            <w:pStyle w:val="Header"/>
            <w:jc w:val="right"/>
            <w:rPr>
              <w:rFonts w:ascii="Myriad Pro" w:hAnsi="Myriad Pro"/>
              <w:b/>
              <w:bCs/>
              <w:i/>
              <w:iCs/>
              <w:color w:val="B1946C"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Receive a PO in Ariba</w:t>
          </w:r>
        </w:p>
      </w:tc>
    </w:tr>
  </w:tbl>
  <w:p w14:paraId="7E3D746E" w14:textId="77777777" w:rsidR="002A52E6" w:rsidRPr="002A398A" w:rsidRDefault="00D63B1E" w:rsidP="00233BF8">
    <w:pPr>
      <w:pStyle w:val="Header"/>
      <w:tabs>
        <w:tab w:val="clear" w:pos="9360"/>
        <w:tab w:val="left" w:pos="51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D3BE8" wp14:editId="29DD3BE9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148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1A40"/>
    <w:multiLevelType w:val="hybridMultilevel"/>
    <w:tmpl w:val="B426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D11A1"/>
    <w:multiLevelType w:val="hybridMultilevel"/>
    <w:tmpl w:val="EA00B70E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402E790C"/>
    <w:multiLevelType w:val="hybridMultilevel"/>
    <w:tmpl w:val="DB8AB7D4"/>
    <w:lvl w:ilvl="0" w:tplc="D86C3A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035453"/>
    <w:multiLevelType w:val="hybridMultilevel"/>
    <w:tmpl w:val="7B02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7094"/>
    <w:multiLevelType w:val="hybridMultilevel"/>
    <w:tmpl w:val="767CFB06"/>
    <w:lvl w:ilvl="0" w:tplc="D86C3A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4C6998"/>
    <w:multiLevelType w:val="hybridMultilevel"/>
    <w:tmpl w:val="B2587C7E"/>
    <w:lvl w:ilvl="0" w:tplc="D86C3A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E1"/>
    <w:rsid w:val="00012E87"/>
    <w:rsid w:val="00016CC6"/>
    <w:rsid w:val="00025876"/>
    <w:rsid w:val="00025B6E"/>
    <w:rsid w:val="0004329C"/>
    <w:rsid w:val="00044910"/>
    <w:rsid w:val="0007250E"/>
    <w:rsid w:val="00090075"/>
    <w:rsid w:val="000A2A46"/>
    <w:rsid w:val="000A3F3B"/>
    <w:rsid w:val="000A697E"/>
    <w:rsid w:val="000C7041"/>
    <w:rsid w:val="000D1E7F"/>
    <w:rsid w:val="00124121"/>
    <w:rsid w:val="00126965"/>
    <w:rsid w:val="00143306"/>
    <w:rsid w:val="00147F5F"/>
    <w:rsid w:val="00157872"/>
    <w:rsid w:val="00162373"/>
    <w:rsid w:val="00180197"/>
    <w:rsid w:val="00194CF7"/>
    <w:rsid w:val="001B02DD"/>
    <w:rsid w:val="001B3476"/>
    <w:rsid w:val="001D7827"/>
    <w:rsid w:val="001E7DE1"/>
    <w:rsid w:val="001F4121"/>
    <w:rsid w:val="0020089F"/>
    <w:rsid w:val="002077D3"/>
    <w:rsid w:val="00215F41"/>
    <w:rsid w:val="002168A2"/>
    <w:rsid w:val="00225097"/>
    <w:rsid w:val="00233BF8"/>
    <w:rsid w:val="00234BA3"/>
    <w:rsid w:val="00237E23"/>
    <w:rsid w:val="0024085A"/>
    <w:rsid w:val="00250A01"/>
    <w:rsid w:val="00250B2D"/>
    <w:rsid w:val="00250E9C"/>
    <w:rsid w:val="00252DB6"/>
    <w:rsid w:val="0025402C"/>
    <w:rsid w:val="00264FAE"/>
    <w:rsid w:val="00283581"/>
    <w:rsid w:val="002A398A"/>
    <w:rsid w:val="002A52E6"/>
    <w:rsid w:val="002C79EB"/>
    <w:rsid w:val="002D06C3"/>
    <w:rsid w:val="002D3707"/>
    <w:rsid w:val="002E2EF4"/>
    <w:rsid w:val="002F1E51"/>
    <w:rsid w:val="003056F7"/>
    <w:rsid w:val="003453FF"/>
    <w:rsid w:val="00351726"/>
    <w:rsid w:val="00370D05"/>
    <w:rsid w:val="00373A2C"/>
    <w:rsid w:val="003A083D"/>
    <w:rsid w:val="003A25DD"/>
    <w:rsid w:val="003A2A48"/>
    <w:rsid w:val="003C30B6"/>
    <w:rsid w:val="003C6479"/>
    <w:rsid w:val="003D099D"/>
    <w:rsid w:val="00413674"/>
    <w:rsid w:val="004177B6"/>
    <w:rsid w:val="00420F56"/>
    <w:rsid w:val="00435195"/>
    <w:rsid w:val="00441C05"/>
    <w:rsid w:val="00442861"/>
    <w:rsid w:val="00444BAC"/>
    <w:rsid w:val="0044606D"/>
    <w:rsid w:val="0046777E"/>
    <w:rsid w:val="00480A1B"/>
    <w:rsid w:val="004A069D"/>
    <w:rsid w:val="004C2B94"/>
    <w:rsid w:val="004D2BD8"/>
    <w:rsid w:val="004D56E9"/>
    <w:rsid w:val="00500FC2"/>
    <w:rsid w:val="005100AC"/>
    <w:rsid w:val="005501D3"/>
    <w:rsid w:val="005656FD"/>
    <w:rsid w:val="0057582A"/>
    <w:rsid w:val="005820F9"/>
    <w:rsid w:val="00583DE9"/>
    <w:rsid w:val="005864F4"/>
    <w:rsid w:val="005918C3"/>
    <w:rsid w:val="005C3709"/>
    <w:rsid w:val="005C5C86"/>
    <w:rsid w:val="005D301D"/>
    <w:rsid w:val="005F1C7C"/>
    <w:rsid w:val="005F418F"/>
    <w:rsid w:val="006102D0"/>
    <w:rsid w:val="00611712"/>
    <w:rsid w:val="006125F1"/>
    <w:rsid w:val="00622D87"/>
    <w:rsid w:val="00654D65"/>
    <w:rsid w:val="006643E6"/>
    <w:rsid w:val="00670AAD"/>
    <w:rsid w:val="0069607F"/>
    <w:rsid w:val="006B3555"/>
    <w:rsid w:val="006C19DE"/>
    <w:rsid w:val="006D13BA"/>
    <w:rsid w:val="006E476D"/>
    <w:rsid w:val="006E60AF"/>
    <w:rsid w:val="006E62B4"/>
    <w:rsid w:val="006F0880"/>
    <w:rsid w:val="00705149"/>
    <w:rsid w:val="0071497E"/>
    <w:rsid w:val="007331E4"/>
    <w:rsid w:val="0073327C"/>
    <w:rsid w:val="00746E7E"/>
    <w:rsid w:val="00770E5A"/>
    <w:rsid w:val="00780C6F"/>
    <w:rsid w:val="007834D2"/>
    <w:rsid w:val="00787202"/>
    <w:rsid w:val="00795D27"/>
    <w:rsid w:val="007B0E7A"/>
    <w:rsid w:val="007B15B3"/>
    <w:rsid w:val="007D3FBF"/>
    <w:rsid w:val="007D77C7"/>
    <w:rsid w:val="008250B5"/>
    <w:rsid w:val="008473AC"/>
    <w:rsid w:val="00847F5C"/>
    <w:rsid w:val="00891AFE"/>
    <w:rsid w:val="008923D7"/>
    <w:rsid w:val="008B61C3"/>
    <w:rsid w:val="008C16E6"/>
    <w:rsid w:val="008E1D9A"/>
    <w:rsid w:val="009215DD"/>
    <w:rsid w:val="00926FA5"/>
    <w:rsid w:val="009306C7"/>
    <w:rsid w:val="00932611"/>
    <w:rsid w:val="009330C7"/>
    <w:rsid w:val="0093574B"/>
    <w:rsid w:val="009357FE"/>
    <w:rsid w:val="009371C0"/>
    <w:rsid w:val="00944F64"/>
    <w:rsid w:val="009524B3"/>
    <w:rsid w:val="009557E4"/>
    <w:rsid w:val="00956210"/>
    <w:rsid w:val="0096220B"/>
    <w:rsid w:val="00965170"/>
    <w:rsid w:val="009C43D1"/>
    <w:rsid w:val="009C4C9E"/>
    <w:rsid w:val="009D4A9D"/>
    <w:rsid w:val="009D7DE5"/>
    <w:rsid w:val="009E6409"/>
    <w:rsid w:val="00A00199"/>
    <w:rsid w:val="00A06257"/>
    <w:rsid w:val="00A15876"/>
    <w:rsid w:val="00A1670D"/>
    <w:rsid w:val="00A265D2"/>
    <w:rsid w:val="00A27517"/>
    <w:rsid w:val="00A36FEB"/>
    <w:rsid w:val="00A41BA9"/>
    <w:rsid w:val="00A41DD4"/>
    <w:rsid w:val="00A47925"/>
    <w:rsid w:val="00A5051B"/>
    <w:rsid w:val="00A57BC5"/>
    <w:rsid w:val="00A60886"/>
    <w:rsid w:val="00A65B37"/>
    <w:rsid w:val="00AA5B3E"/>
    <w:rsid w:val="00AA717C"/>
    <w:rsid w:val="00AE7834"/>
    <w:rsid w:val="00AF3B7E"/>
    <w:rsid w:val="00AF5CDB"/>
    <w:rsid w:val="00B03079"/>
    <w:rsid w:val="00B07441"/>
    <w:rsid w:val="00B124A7"/>
    <w:rsid w:val="00B402E2"/>
    <w:rsid w:val="00B521D2"/>
    <w:rsid w:val="00B63AF0"/>
    <w:rsid w:val="00B65DA0"/>
    <w:rsid w:val="00B77532"/>
    <w:rsid w:val="00B80426"/>
    <w:rsid w:val="00B807CA"/>
    <w:rsid w:val="00B96AD9"/>
    <w:rsid w:val="00BB042E"/>
    <w:rsid w:val="00BD0B5A"/>
    <w:rsid w:val="00BE4023"/>
    <w:rsid w:val="00BE62E8"/>
    <w:rsid w:val="00C016C5"/>
    <w:rsid w:val="00C2024F"/>
    <w:rsid w:val="00C21B4B"/>
    <w:rsid w:val="00C22128"/>
    <w:rsid w:val="00C31614"/>
    <w:rsid w:val="00C41818"/>
    <w:rsid w:val="00C7570F"/>
    <w:rsid w:val="00CA0FE4"/>
    <w:rsid w:val="00CA527C"/>
    <w:rsid w:val="00CB4AAD"/>
    <w:rsid w:val="00CE193B"/>
    <w:rsid w:val="00CE4ECB"/>
    <w:rsid w:val="00CF6A73"/>
    <w:rsid w:val="00D151F3"/>
    <w:rsid w:val="00D24D19"/>
    <w:rsid w:val="00D25974"/>
    <w:rsid w:val="00D34F42"/>
    <w:rsid w:val="00D50069"/>
    <w:rsid w:val="00D63B1E"/>
    <w:rsid w:val="00D700A3"/>
    <w:rsid w:val="00D80104"/>
    <w:rsid w:val="00D923B5"/>
    <w:rsid w:val="00D95CC3"/>
    <w:rsid w:val="00D96778"/>
    <w:rsid w:val="00DB1113"/>
    <w:rsid w:val="00DD159C"/>
    <w:rsid w:val="00DD5125"/>
    <w:rsid w:val="00DE6E60"/>
    <w:rsid w:val="00DF3E4C"/>
    <w:rsid w:val="00E7436B"/>
    <w:rsid w:val="00E76CCE"/>
    <w:rsid w:val="00E80643"/>
    <w:rsid w:val="00EA03FD"/>
    <w:rsid w:val="00EB3A21"/>
    <w:rsid w:val="00EB54DE"/>
    <w:rsid w:val="00EC23C2"/>
    <w:rsid w:val="00F05C2E"/>
    <w:rsid w:val="00F255CE"/>
    <w:rsid w:val="00F3219C"/>
    <w:rsid w:val="00F347CD"/>
    <w:rsid w:val="00F46B6F"/>
    <w:rsid w:val="00F844E9"/>
    <w:rsid w:val="00F87C51"/>
    <w:rsid w:val="00FA6B66"/>
    <w:rsid w:val="00FB0C47"/>
    <w:rsid w:val="00FB1CEF"/>
    <w:rsid w:val="00FB3BE3"/>
    <w:rsid w:val="00FB440A"/>
    <w:rsid w:val="00FB4FD7"/>
    <w:rsid w:val="00FB6C6A"/>
    <w:rsid w:val="00FC075E"/>
    <w:rsid w:val="00FD1266"/>
    <w:rsid w:val="00FD75F5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5B88DA"/>
  <w15:docId w15:val="{1F1134F9-4A13-488B-8202-5D814A25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7C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7C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7C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7C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7C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347C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347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347C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347C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7C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347C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347CD"/>
    <w:rPr>
      <w:b/>
      <w:bCs/>
    </w:rPr>
  </w:style>
  <w:style w:type="character" w:styleId="Emphasis">
    <w:name w:val="Emphasis"/>
    <w:uiPriority w:val="20"/>
    <w:qFormat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qFormat/>
    <w:rsid w:val="00F347CD"/>
    <w:rPr>
      <w:i/>
      <w:iCs/>
    </w:rPr>
  </w:style>
  <w:style w:type="character" w:styleId="IntenseEmphasis">
    <w:name w:val="Intense Emphasis"/>
    <w:uiPriority w:val="21"/>
    <w:qFormat/>
    <w:rsid w:val="00F347CD"/>
    <w:rPr>
      <w:b/>
      <w:bCs/>
    </w:rPr>
  </w:style>
  <w:style w:type="character" w:styleId="SubtleReference">
    <w:name w:val="Subtle Reference"/>
    <w:uiPriority w:val="31"/>
    <w:qFormat/>
    <w:rsid w:val="00F347CD"/>
    <w:rPr>
      <w:smallCaps/>
    </w:rPr>
  </w:style>
  <w:style w:type="character" w:styleId="IntenseReference">
    <w:name w:val="Intense Reference"/>
    <w:uiPriority w:val="32"/>
    <w:qFormat/>
    <w:rsid w:val="00F347CD"/>
    <w:rPr>
      <w:smallCaps/>
      <w:spacing w:val="5"/>
      <w:u w:val="single"/>
    </w:rPr>
  </w:style>
  <w:style w:type="character" w:styleId="BookTitle">
    <w:name w:val="Book Title"/>
    <w:uiPriority w:val="33"/>
    <w:qFormat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character" w:customStyle="1" w:styleId="pathlink1">
    <w:name w:val="pathlink1"/>
    <w:basedOn w:val="DefaultParagraphFont"/>
    <w:rsid w:val="007D77C7"/>
    <w:rPr>
      <w:color w:val="0000CC"/>
    </w:rPr>
  </w:style>
  <w:style w:type="character" w:customStyle="1" w:styleId="pathseparator1">
    <w:name w:val="pathseparator1"/>
    <w:basedOn w:val="DefaultParagraphFont"/>
    <w:rsid w:val="007D77C7"/>
    <w:rPr>
      <w:color w:val="0000CC"/>
    </w:rPr>
  </w:style>
  <w:style w:type="character" w:customStyle="1" w:styleId="pathleafnode1">
    <w:name w:val="pathleafnode1"/>
    <w:basedOn w:val="DefaultParagraphFont"/>
    <w:rsid w:val="007D77C7"/>
    <w:rPr>
      <w:b/>
      <w:bCs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urdue.edu/materials/ship/claim.htm" TargetMode="External"/><Relationship Id="rId18" Type="http://schemas.openxmlformats.org/officeDocument/2006/relationships/hyperlink" Target="http://www.purdue.edu/business/records/pdf/Records_Retention_Schedule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sp2013.itap.purdue.edu/businessservices/procure/training/Shared%20Documents/Receiving%20in%20Ariba.docx" TargetMode="External"/><Relationship Id="rId17" Type="http://schemas.openxmlformats.org/officeDocument/2006/relationships/hyperlink" Target="https://sp2013.itap.purdue.edu/businessservices/procure/training/Shared%20Documents/Receiving%20in%20Ariba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2013.itap.purdue.edu/businessservices/procure/procuretopay/default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shelpdesk@purdue.edu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p2013.itap.purdue.edu/businessservices/procure/procuretopay/default.asp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cus xmlns="3bb41d4b-bfe2-476d-bfa5-47b7e59af1f9">
      <Value>4</Value>
    </Focus>
    <Document_x0020_Type xmlns="3bb41d4b-bfe2-476d-bfa5-47b7e59af1f9">Business Process</Document_x0020_Type>
    <Role xmlns="3bb41d4b-bfe2-476d-bfa5-47b7e59af1f9">
      <Value>Receiver</Value>
    </Role>
    <Course xmlns="3bb41d4b-bfe2-476d-bfa5-47b7e59af1f9">
      <Value>2</Value>
    </Course>
    <Duration_x0020__x0028_Video_x0029_ xmlns="3bb41d4b-bfe2-476d-bfa5-47b7e59af1f9" xsi:nil="true"/>
    <Description0 xmlns="3bb41d4b-bfe2-476d-bfa5-47b7e59af1f9">Use this process receive purchase orders (PO’s) in Ariba.  </Description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452BD15207C4C8765124336612B33" ma:contentTypeVersion="7" ma:contentTypeDescription="Create a new document." ma:contentTypeScope="" ma:versionID="83ff8a3647b029da35da37a291cecf2a">
  <xsd:schema xmlns:xsd="http://www.w3.org/2001/XMLSchema" xmlns:xs="http://www.w3.org/2001/XMLSchema" xmlns:p="http://schemas.microsoft.com/office/2006/metadata/properties" xmlns:ns2="3bb41d4b-bfe2-476d-bfa5-47b7e59af1f9" targetNamespace="http://schemas.microsoft.com/office/2006/metadata/properties" ma:root="true" ma:fieldsID="5efa2560a2fba7de271a8e77e171f023" ns2:_="">
    <xsd:import namespace="3bb41d4b-bfe2-476d-bfa5-47b7e59af1f9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Role" minOccurs="0"/>
                <xsd:element ref="ns2:Document_x0020_Type" minOccurs="0"/>
                <xsd:element ref="ns2:Course" minOccurs="0"/>
                <xsd:element ref="ns2:Description0" minOccurs="0"/>
                <xsd:element ref="ns2:Duration_x0020__x0028_Video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41d4b-bfe2-476d-bfa5-47b7e59af1f9" elementFormDefault="qualified">
    <xsd:import namespace="http://schemas.microsoft.com/office/2006/documentManagement/types"/>
    <xsd:import namespace="http://schemas.microsoft.com/office/infopath/2007/PartnerControls"/>
    <xsd:element name="Focus" ma:index="8" nillable="true" ma:displayName="Focus" ma:list="{1a48fab2-4105-4d91-b7d0-37c308c23956}" ma:internalName="Focu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9" nillable="true" ma:displayName="Role" ma:default="Requester" ma:internalName="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quester"/>
                    <xsd:enumeration value="Receiver"/>
                    <xsd:enumeration value="Fiscal Approver"/>
                    <xsd:enumeration value="Invoice Reconciler"/>
                    <xsd:enumeration value="Traveler"/>
                    <xsd:enumeration value="Travel Delegate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10" nillable="true" ma:displayName="Document Type" ma:default="QRG" ma:format="Dropdown" ma:internalName="Document_x0020_Type">
      <xsd:simpleType>
        <xsd:restriction base="dms:Choice">
          <xsd:enumeration value="QRG"/>
          <xsd:enumeration value="Business Process"/>
          <xsd:enumeration value="PPT"/>
          <xsd:enumeration value="Supplement"/>
          <xsd:enumeration value="Manual"/>
          <xsd:enumeration value="Activity Guide"/>
          <xsd:enumeration value="WIV"/>
        </xsd:restriction>
      </xsd:simpleType>
    </xsd:element>
    <xsd:element name="Course" ma:index="11" nillable="true" ma:displayName="Course" ma:list="{122292e9-5136-43fd-805f-96734b55c942}" ma:internalName="Cour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Duration_x0020__x0028_Video_x0029_" ma:index="13" nillable="true" ma:displayName="Duration (Video)" ma:internalName="Duration_x0020__x0028_Video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EA30-835A-4B51-AAA9-0C45AAA399BA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bb41d4b-bfe2-476d-bfa5-47b7e59af1f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B110B5-B652-49FA-AA12-23459521A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41d4b-bfe2-476d-bfa5-47b7e59a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5A22E3E-BA87-4F89-852D-8E35ADFF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Center Closing Reports</vt:lpstr>
    </vt:vector>
  </TitlesOfParts>
  <Company>Purdue University</Company>
  <LinksUpToDate>false</LinksUpToDate>
  <CharactersWithSpaces>3858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 PO in Ariba</dc:title>
  <dc:creator>Weatherford, Tiffany LB</dc:creator>
  <cp:lastModifiedBy>Weatherford, Tiffany LB</cp:lastModifiedBy>
  <cp:revision>9</cp:revision>
  <cp:lastPrinted>2016-10-21T18:40:00Z</cp:lastPrinted>
  <dcterms:created xsi:type="dcterms:W3CDTF">2019-11-07T19:42:00Z</dcterms:created>
  <dcterms:modified xsi:type="dcterms:W3CDTF">2021-04-05T21:22:00Z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0x010100347452BD15207C4C8765124336612B33</vt:lpwstr>
  </property>
</Properties>
</file>